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29条奥林巴斯消化内镜维保服务</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eastAsia="zh-CN"/>
        </w:rPr>
        <w:t>征集文件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SZZXDL-2026-00600</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31"/>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3E569EB4"/>
    <w:p w14:paraId="4496843E">
      <w:pPr>
        <w:jc w:val="both"/>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1D2B502">
      <w:pPr>
        <w:spacing w:line="440" w:lineRule="exact"/>
        <w:ind w:firstLine="426" w:firstLineChars="177"/>
        <w:rPr>
          <w:rFonts w:ascii="仿宋_GB2312" w:eastAsia="仿宋_GB2312" w:hAnsiTheme="minorEastAsia"/>
          <w:b/>
          <w:color w:val="FF0000"/>
          <w:sz w:val="24"/>
        </w:rPr>
      </w:pPr>
    </w:p>
    <w:p w14:paraId="5B77B0D0">
      <w:pPr>
        <w:pStyle w:val="505"/>
        <w:jc w:val="center"/>
        <w:rPr>
          <w:rFonts w:ascii="Times New Roman" w:hAnsi="Times New Roman" w:eastAsia="宋体" w:cs="Times New Roman"/>
          <w:b w:val="0"/>
          <w:bCs w:val="0"/>
          <w:iCs/>
          <w:smallCaps/>
          <w:color w:val="auto"/>
          <w:kern w:val="2"/>
          <w:sz w:val="21"/>
          <w:szCs w:val="24"/>
          <w:lang w:val="zh-CN"/>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2A541850">
          <w:pPr>
            <w:pStyle w:val="505"/>
            <w:jc w:val="center"/>
            <w:rPr>
              <w:rFonts w:ascii="Times New Roman" w:hAnsi="Times New Roman" w:eastAsia="宋体" w:cs="Times New Roman"/>
              <w:b w:val="0"/>
              <w:bCs w:val="0"/>
              <w:iCs/>
              <w:smallCaps/>
              <w:color w:val="auto"/>
              <w:kern w:val="2"/>
              <w:sz w:val="21"/>
              <w:szCs w:val="24"/>
              <w:lang w:val="zh-CN"/>
            </w:rPr>
          </w:pPr>
          <w:bookmarkStart w:id="115" w:name="_GoBack"/>
          <w:bookmarkEnd w:id="115"/>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7"/>
            <w:tabs>
              <w:tab w:val="right" w:leader="dot" w:pos="9628"/>
            </w:tabs>
            <w:rPr>
              <w:rFonts w:ascii="仿宋_GB2312" w:eastAsia="仿宋_GB2312"/>
              <w:sz w:val="24"/>
            </w:rPr>
          </w:pPr>
        </w:p>
        <w:p w14:paraId="7B270614">
          <w:pPr>
            <w:pStyle w:val="37"/>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8"/>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8"/>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w:t>
          </w:r>
          <w:r>
            <w:rPr>
              <w:rStyle w:val="58"/>
              <w:rFonts w:hint="eastAsia" w:ascii="仿宋_GB2312" w:eastAsia="仿宋_GB2312"/>
              <w:sz w:val="24"/>
              <w:lang w:eastAsia="zh-CN"/>
            </w:rPr>
            <w:t>征集文件</w:t>
          </w:r>
          <w:r>
            <w:rPr>
              <w:rStyle w:val="58"/>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7"/>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4"/>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4"/>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5"/>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29条奥林巴斯消化内镜维保服务</w:t>
      </w:r>
      <w:r>
        <w:rPr>
          <w:rFonts w:hint="eastAsia" w:ascii="宋体" w:hAnsi="宋体" w:cs="Arial Unicode MS"/>
          <w:snapToGrid w:val="0"/>
          <w:kern w:val="0"/>
          <w:szCs w:val="21"/>
          <w:lang w:eastAsia="zh-CN"/>
        </w:rPr>
        <w:t>征集</w:t>
      </w:r>
      <w:r>
        <w:rPr>
          <w:rFonts w:hint="eastAsia" w:ascii="宋体" w:hAnsi="宋体" w:cs="Arial Unicode MS"/>
          <w:snapToGrid w:val="0"/>
          <w:kern w:val="0"/>
          <w:szCs w:val="21"/>
        </w:rPr>
        <w:t>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SZZXDL-2026-00600</w:t>
      </w:r>
    </w:p>
    <w:p w14:paraId="17E6EF6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29条奥林巴斯消化内镜维保服务</w:t>
      </w:r>
    </w:p>
    <w:p w14:paraId="61B8976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4A9F9EE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950,000.00</w:t>
      </w:r>
      <w:r>
        <w:rPr>
          <w:rFonts w:hint="eastAsia" w:ascii="宋体" w:hAnsi="宋体" w:eastAsia="宋体"/>
          <w:snapToGrid w:val="0"/>
          <w:color w:val="auto"/>
          <w:sz w:val="21"/>
          <w:szCs w:val="21"/>
        </w:rPr>
        <w:t>元</w:t>
      </w:r>
    </w:p>
    <w:p w14:paraId="3613492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950,000.00</w:t>
      </w:r>
      <w:r>
        <w:rPr>
          <w:rFonts w:hint="eastAsia" w:ascii="宋体" w:hAnsi="宋体" w:eastAsia="宋体"/>
          <w:snapToGrid w:val="0"/>
          <w:color w:val="auto"/>
          <w:sz w:val="21"/>
          <w:szCs w:val="21"/>
        </w:rPr>
        <w:t>元</w:t>
      </w:r>
    </w:p>
    <w:p w14:paraId="39FF418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48"/>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8"/>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29条奥林巴斯消化内镜维保服务</w:t>
            </w:r>
          </w:p>
        </w:tc>
        <w:tc>
          <w:tcPr>
            <w:tcW w:w="921" w:type="dxa"/>
            <w:shd w:val="clear" w:color="auto" w:fill="auto"/>
            <w:vAlign w:val="center"/>
          </w:tcPr>
          <w:p w14:paraId="5869E30D">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4"/>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73FE096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51C208B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378F8AC">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firstLineChars="202"/>
        <w:textAlignment w:val="auto"/>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31D1DD6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EF1310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w:t>
      </w:r>
      <w:r>
        <w:rPr>
          <w:rFonts w:hint="eastAsia" w:ascii="宋体" w:hAnsi="宋体" w:eastAsia="宋体"/>
          <w:b/>
          <w:snapToGrid w:val="0"/>
          <w:color w:val="auto"/>
          <w:sz w:val="21"/>
          <w:szCs w:val="21"/>
          <w:lang w:eastAsia="zh-CN"/>
        </w:rPr>
        <w:t>征集</w:t>
      </w:r>
      <w:r>
        <w:rPr>
          <w:rFonts w:hint="eastAsia" w:ascii="宋体" w:hAnsi="宋体" w:eastAsia="宋体"/>
          <w:b/>
          <w:snapToGrid w:val="0"/>
          <w:color w:val="auto"/>
          <w:sz w:val="21"/>
          <w:szCs w:val="21"/>
        </w:rPr>
        <w:t>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深圳市第三人民医院</w:t>
      </w:r>
    </w:p>
    <w:p w14:paraId="34025C2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地址：深圳市龙岗区布澜路29号</w:t>
      </w:r>
    </w:p>
    <w:p w14:paraId="4C32D84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王老师，</w:t>
      </w:r>
      <w:r>
        <w:rPr>
          <w:rFonts w:hint="eastAsia" w:ascii="宋体" w:hAnsi="宋体" w:eastAsia="宋体"/>
          <w:snapToGrid w:val="0"/>
          <w:color w:val="auto"/>
          <w:sz w:val="21"/>
          <w:szCs w:val="21"/>
        </w:rPr>
        <w:t xml:space="preserve">0755-61238903 </w:t>
      </w:r>
    </w:p>
    <w:p w14:paraId="2C9BB22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355FE78C">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3FE4A73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bookmarkStart w:id="1" w:name="_Toc135293160"/>
    </w:p>
    <w:p w14:paraId="0CDD493B">
      <w:pPr>
        <w:widowControl/>
        <w:jc w:val="left"/>
      </w:pPr>
      <w:r>
        <w:br w:type="page"/>
      </w:r>
    </w:p>
    <w:p w14:paraId="01A97D8A">
      <w:pPr>
        <w:widowControl/>
        <w:jc w:val="left"/>
      </w:pPr>
    </w:p>
    <w:p w14:paraId="512A5CFA">
      <w:pPr>
        <w:pStyle w:val="5"/>
        <w:keepNext w:val="0"/>
        <w:keepLines w:val="0"/>
        <w:pageBreakBefore w:val="0"/>
        <w:widowControl w:val="0"/>
        <w:kinsoku/>
        <w:wordWrap/>
        <w:overflowPunct/>
        <w:topLinePunct w:val="0"/>
        <w:bidi w:val="0"/>
      </w:pPr>
      <w:r>
        <w:rPr>
          <w:rFonts w:hint="eastAsia"/>
        </w:rPr>
        <w:t>第二章  项目需求</w:t>
      </w:r>
      <w:bookmarkEnd w:id="1"/>
    </w:p>
    <w:p w14:paraId="20197D0B">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2" w:name="OLE_LINK3"/>
      <w:r>
        <w:rPr>
          <w:rFonts w:hint="eastAsia" w:ascii="宋体" w:hAnsi="宋体"/>
          <w:b/>
          <w:sz w:val="24"/>
        </w:rPr>
        <w:t>特别说明</w:t>
      </w:r>
    </w:p>
    <w:p w14:paraId="2822648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3"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4"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w:t>
      </w:r>
      <w:bookmarkStart w:id="5"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5"/>
      <w:r>
        <w:rPr>
          <w:rFonts w:hint="eastAsia" w:ascii="仿宋_GB2312" w:eastAsia="仿宋_GB2312"/>
          <w:sz w:val="24"/>
        </w:rPr>
        <w:t>。</w:t>
      </w:r>
    </w:p>
    <w:bookmarkEnd w:id="4"/>
    <w:p w14:paraId="4CC037C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2"/>
    <w:bookmarkEnd w:id="3"/>
    <w:p w14:paraId="7C623042">
      <w:pPr>
        <w:pStyle w:val="322"/>
        <w:keepNext w:val="0"/>
        <w:keepLines w:val="0"/>
        <w:pageBreakBefore w:val="0"/>
        <w:widowControl w:val="0"/>
        <w:kinsoku/>
        <w:wordWrap/>
        <w:overflowPunct/>
        <w:topLinePunct w:val="0"/>
        <w:bidi w:val="0"/>
        <w:ind w:firstLine="0" w:firstLineChars="0"/>
        <w:rPr>
          <w:b/>
        </w:rPr>
      </w:pPr>
    </w:p>
    <w:p w14:paraId="358BB719">
      <w:pPr>
        <w:pStyle w:val="322"/>
        <w:keepNext w:val="0"/>
        <w:keepLines w:val="0"/>
        <w:pageBreakBefore w:val="0"/>
        <w:widowControl w:val="0"/>
        <w:kinsoku/>
        <w:wordWrap/>
        <w:overflowPunct/>
        <w:topLinePunct w:val="0"/>
        <w:bidi w:val="0"/>
        <w:ind w:firstLine="0" w:firstLineChars="0"/>
        <w:rPr>
          <w:b/>
        </w:rPr>
      </w:pPr>
      <w:r>
        <w:rPr>
          <w:rFonts w:hint="eastAsia"/>
          <w:b/>
        </w:rPr>
        <w:t>一、项目概况</w:t>
      </w:r>
    </w:p>
    <w:p w14:paraId="03BF82EF">
      <w:pPr>
        <w:pStyle w:val="256"/>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vAlign w:val="center"/>
          </w:tcPr>
          <w:p w14:paraId="059C56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l2br w:val="nil"/>
              <w:tr2bl w:val="nil"/>
            </w:tcBorders>
            <w:vAlign w:val="center"/>
          </w:tcPr>
          <w:p w14:paraId="19261CE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l2br w:val="nil"/>
              <w:tr2bl w:val="nil"/>
            </w:tcBorders>
            <w:vAlign w:val="center"/>
          </w:tcPr>
          <w:p w14:paraId="487DAAA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l2br w:val="nil"/>
              <w:tr2bl w:val="nil"/>
            </w:tcBorders>
            <w:vAlign w:val="center"/>
          </w:tcPr>
          <w:p w14:paraId="7DF0A95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l2br w:val="nil"/>
              <w:tr2bl w:val="nil"/>
            </w:tcBorders>
            <w:vAlign w:val="center"/>
          </w:tcPr>
          <w:p w14:paraId="24211D6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l2br w:val="nil"/>
              <w:tr2bl w:val="nil"/>
            </w:tcBorders>
            <w:vAlign w:val="center"/>
          </w:tcPr>
          <w:p w14:paraId="76CB99C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 w:hRule="atLeast"/>
        </w:trPr>
        <w:tc>
          <w:tcPr>
            <w:tcW w:w="866" w:type="dxa"/>
            <w:tcBorders>
              <w:tl2br w:val="nil"/>
              <w:tr2bl w:val="nil"/>
            </w:tcBorders>
            <w:vAlign w:val="center"/>
          </w:tcPr>
          <w:p w14:paraId="76C07BB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l2br w:val="nil"/>
              <w:tr2bl w:val="nil"/>
            </w:tcBorders>
            <w:vAlign w:val="center"/>
          </w:tcPr>
          <w:p w14:paraId="78E1A4E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29条奥林巴斯消化内镜维保服务</w:t>
            </w:r>
          </w:p>
        </w:tc>
        <w:tc>
          <w:tcPr>
            <w:tcW w:w="921" w:type="dxa"/>
            <w:tcBorders>
              <w:tl2br w:val="nil"/>
              <w:tr2bl w:val="nil"/>
            </w:tcBorders>
            <w:vAlign w:val="center"/>
          </w:tcPr>
          <w:p w14:paraId="1A04FD0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l2br w:val="nil"/>
              <w:tr2bl w:val="nil"/>
            </w:tcBorders>
            <w:vAlign w:val="center"/>
          </w:tcPr>
          <w:p w14:paraId="24B82A1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l2br w:val="nil"/>
              <w:tr2bl w:val="nil"/>
            </w:tcBorders>
            <w:vAlign w:val="center"/>
          </w:tcPr>
          <w:p w14:paraId="3086D37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950,000.00</w:t>
            </w:r>
          </w:p>
        </w:tc>
        <w:tc>
          <w:tcPr>
            <w:tcW w:w="1701" w:type="dxa"/>
            <w:tcBorders>
              <w:tl2br w:val="nil"/>
              <w:tr2bl w:val="nil"/>
            </w:tcBorders>
            <w:vAlign w:val="center"/>
          </w:tcPr>
          <w:p w14:paraId="7063E16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6"/>
        <w:keepNext w:val="0"/>
        <w:keepLines w:val="0"/>
        <w:pageBreakBefore w:val="0"/>
        <w:widowControl w:val="0"/>
        <w:kinsoku/>
        <w:wordWrap/>
        <w:overflowPunct/>
        <w:topLinePunct w:val="0"/>
        <w:bidi w:val="0"/>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default" w:cs="Times New Roman"/>
          <w:snapToGrid/>
          <w:spacing w:val="0"/>
          <w:sz w:val="21"/>
          <w:szCs w:val="21"/>
        </w:rPr>
        <w:t>消化内科内镜中心于2020年9月购置的29条消化内镜，目前已全部超出原厂维保期限。作为科室核心诊疗设备，该批胃、肠镜日常诊疗使用频次极高，长期高负荷运行导致设备易出现各类故障，整体维修成本高昂且累计支出已远超年度维保套餐费用。为保障消化内镜日常诊疗工作有序开展，降低设备故障停机风险，确保诊疗工作安全规范，同时实现设备成本的合理管控，现申请购买该29条</w:t>
      </w:r>
      <w:r>
        <w:rPr>
          <w:rFonts w:hint="eastAsia" w:cs="Times New Roman"/>
          <w:snapToGrid/>
          <w:spacing w:val="0"/>
          <w:sz w:val="21"/>
          <w:szCs w:val="21"/>
          <w:lang w:eastAsia="zh-CN"/>
        </w:rPr>
        <w:t>内镜（</w:t>
      </w:r>
      <w:r>
        <w:rPr>
          <w:rFonts w:hint="eastAsia" w:cs="Times New Roman"/>
          <w:snapToGrid/>
          <w:spacing w:val="0"/>
          <w:sz w:val="21"/>
          <w:szCs w:val="21"/>
          <w:lang w:val="en-US" w:eastAsia="zh-CN"/>
        </w:rPr>
        <w:t>18条电子胃镜，10条电子肠镜，1条十二指肠镜</w:t>
      </w:r>
      <w:r>
        <w:rPr>
          <w:rFonts w:hint="eastAsia" w:cs="Times New Roman"/>
          <w:snapToGrid/>
          <w:spacing w:val="0"/>
          <w:sz w:val="21"/>
          <w:szCs w:val="21"/>
          <w:lang w:eastAsia="zh-CN"/>
        </w:rPr>
        <w:t>）</w:t>
      </w:r>
      <w:r>
        <w:rPr>
          <w:rFonts w:hint="default" w:cs="Times New Roman"/>
          <w:snapToGrid/>
          <w:spacing w:val="0"/>
          <w:sz w:val="21"/>
          <w:szCs w:val="21"/>
        </w:rPr>
        <w:t>年度维保服务，包含设备的定期巡检保养、故障快速响应维修、原厂合规配件及备用胃、肠镜替换等全流程维保内容。</w:t>
      </w:r>
    </w:p>
    <w:p w14:paraId="682877D6">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105A0AED">
      <w:pPr>
        <w:pStyle w:val="322"/>
        <w:keepNext w:val="0"/>
        <w:keepLines w:val="0"/>
        <w:pageBreakBefore w:val="0"/>
        <w:widowControl w:val="0"/>
        <w:kinsoku/>
        <w:wordWrap/>
        <w:overflowPunct/>
        <w:topLinePunct w:val="0"/>
        <w:bidi w:val="0"/>
        <w:ind w:firstLine="0" w:firstLineChars="0"/>
        <w:rPr>
          <w:b/>
        </w:rPr>
      </w:pPr>
      <w:r>
        <w:rPr>
          <w:rFonts w:hint="eastAsia"/>
          <w:b/>
        </w:rPr>
        <w:t>二、项目服务要求</w:t>
      </w:r>
    </w:p>
    <w:p w14:paraId="0B4DA134">
      <w:pPr>
        <w:pStyle w:val="256"/>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（一）</w:t>
      </w:r>
      <w:r>
        <w:rPr>
          <w:rFonts w:hint="eastAsia" w:asciiTheme="minorEastAsia" w:hAnsiTheme="minorEastAsia" w:eastAsiaTheme="minorEastAsia"/>
          <w:b/>
          <w:lang w:val="en-US" w:eastAsia="zh-CN"/>
        </w:rPr>
        <w:t>维护设备清单（此项不纳入“采购需求响应情况”评分项评审）</w:t>
      </w:r>
      <w:r>
        <w:rPr>
          <w:rFonts w:hint="eastAsia" w:asciiTheme="minorEastAsia" w:hAnsiTheme="minorEastAsia" w:eastAsiaTheme="minorEastAsia"/>
          <w:b/>
        </w:rPr>
        <w:t>：</w:t>
      </w:r>
    </w:p>
    <w:tbl>
      <w:tblPr>
        <w:tblStyle w:val="51"/>
        <w:tblW w:w="9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596"/>
        <w:gridCol w:w="4427"/>
        <w:gridCol w:w="885"/>
        <w:gridCol w:w="735"/>
        <w:gridCol w:w="1380"/>
      </w:tblGrid>
      <w:tr w14:paraId="0701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FEC6AA">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D5FF1A2">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采购计划编号（设备型号）</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14:paraId="37A00B72">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需求内容</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ACF8E3">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A83FD96">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6CDF3DD">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7EE4566C">
            <w:pPr>
              <w:keepNext w:val="0"/>
              <w:keepLines w:val="0"/>
              <w:pageBreakBefore w:val="0"/>
              <w:widowControl w:val="0"/>
              <w:suppressLineNumbers w:val="0"/>
              <w:kinsoku/>
              <w:wordWrap/>
              <w:overflowPunct/>
              <w:topLinePunct w:val="0"/>
              <w:bidi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（机身编号）</w:t>
            </w:r>
          </w:p>
        </w:tc>
      </w:tr>
      <w:tr w14:paraId="60AB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13DE7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127EEC8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TJF TYPE 260V</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338826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电子十二指肠镜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CEB3A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790E2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A736EB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2025119</w:t>
            </w:r>
          </w:p>
        </w:tc>
      </w:tr>
      <w:tr w14:paraId="75DD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461A1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7F4FB4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B34F6E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B6A18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F5B6F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74D418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2023976</w:t>
            </w:r>
          </w:p>
        </w:tc>
      </w:tr>
      <w:tr w14:paraId="6B85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7A387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64CB4EB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94513D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F14CE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663FE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DABBE1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2023979</w:t>
            </w:r>
          </w:p>
        </w:tc>
      </w:tr>
      <w:tr w14:paraId="0C71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CC35F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5BC32A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E46523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8B703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189DF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2625F0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2023973</w:t>
            </w:r>
          </w:p>
        </w:tc>
      </w:tr>
      <w:tr w14:paraId="503E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3F7FF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C82D85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C5CD21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32EC6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9FCEF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CA46C9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2023975</w:t>
            </w:r>
          </w:p>
        </w:tc>
      </w:tr>
      <w:tr w14:paraId="02C6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087D6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C724EA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5433416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1DCA9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145AF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A371BF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2023990</w:t>
            </w:r>
          </w:p>
        </w:tc>
      </w:tr>
      <w:tr w14:paraId="784F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FE4BB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9A805D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3FD9CB0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534A8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06AD5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6CC3C6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2023997</w:t>
            </w:r>
          </w:p>
        </w:tc>
      </w:tr>
      <w:tr w14:paraId="1F87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E3D83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3F5823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E0BD93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AE793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221CD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C1F26C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2024013</w:t>
            </w:r>
          </w:p>
        </w:tc>
      </w:tr>
      <w:tr w14:paraId="0E7B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5D4E3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7FFBDD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AE48EC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9AC6A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353A6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9D07C2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2024012</w:t>
            </w:r>
          </w:p>
        </w:tc>
      </w:tr>
      <w:tr w14:paraId="0B8F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82997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B2B6B8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37C09D5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6E1D0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21E03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0DBA5A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2023993</w:t>
            </w:r>
          </w:p>
        </w:tc>
      </w:tr>
      <w:tr w14:paraId="6C41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8FE6A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1E45908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PCF-H290ZI</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73AD3E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电子肠镜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F1CE5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5F366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F905AB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2023996</w:t>
            </w:r>
          </w:p>
        </w:tc>
      </w:tr>
      <w:tr w14:paraId="21F5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E5998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32BAC0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GIF-HQ290</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844F0A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DF4CD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2268A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965EF7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2061519</w:t>
            </w:r>
          </w:p>
        </w:tc>
      </w:tr>
      <w:tr w14:paraId="3AAA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71225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32E04D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GIF-HQ290</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F9DD3A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F4A9B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A5463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5B5F83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2061563</w:t>
            </w:r>
          </w:p>
        </w:tc>
      </w:tr>
      <w:tr w14:paraId="4DA1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2B4BB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1C6773C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GIF-HQ290</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14364BD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DD006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30467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95C073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2061566</w:t>
            </w:r>
          </w:p>
        </w:tc>
      </w:tr>
      <w:tr w14:paraId="6C22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8C213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C686B4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0ACEDE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57903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6CEA2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F8E4A1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2035880</w:t>
            </w:r>
          </w:p>
        </w:tc>
      </w:tr>
      <w:tr w14:paraId="1C7A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4A455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36027E3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0F4BF0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BA0A2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5CD3B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E9F978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2035871</w:t>
            </w:r>
          </w:p>
        </w:tc>
      </w:tr>
      <w:tr w14:paraId="2533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4482B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7D923E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1701C65">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A49E0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05B6C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07B356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2035931</w:t>
            </w:r>
          </w:p>
        </w:tc>
      </w:tr>
      <w:tr w14:paraId="796D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FFDF09">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1283224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E3E54F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87F4E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533B0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6720A4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2035929</w:t>
            </w:r>
          </w:p>
        </w:tc>
      </w:tr>
      <w:tr w14:paraId="72DE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5665D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4B8A18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1F413FC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74452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E6D2DE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44349E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2035930</w:t>
            </w:r>
          </w:p>
        </w:tc>
      </w:tr>
      <w:tr w14:paraId="21D6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8975C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07B1B2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3941E2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2CF93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B1E4D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554288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2035936</w:t>
            </w:r>
          </w:p>
        </w:tc>
      </w:tr>
      <w:tr w14:paraId="0804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EF011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30B35F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56A8C3B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10EDD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26F92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C74AA7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2035954</w:t>
            </w:r>
          </w:p>
        </w:tc>
      </w:tr>
      <w:tr w14:paraId="3887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861A83">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6B26AFE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A27A52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910F5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CE709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3D6A1D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2035958</w:t>
            </w:r>
          </w:p>
        </w:tc>
      </w:tr>
      <w:tr w14:paraId="7372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C6285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85DD6C4">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947A07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811F0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E9D10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F39000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2035973</w:t>
            </w:r>
          </w:p>
        </w:tc>
      </w:tr>
      <w:tr w14:paraId="469F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C1ED1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6AE701B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3BD8446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D2A1D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AE665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718B2B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2035962</w:t>
            </w:r>
          </w:p>
        </w:tc>
      </w:tr>
      <w:tr w14:paraId="39D1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40A5E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DD18F3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5FB2553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A06D1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225F9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68C237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2035955</w:t>
            </w:r>
          </w:p>
        </w:tc>
      </w:tr>
      <w:tr w14:paraId="44D9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A0CD2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7CB414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947BD0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94D5B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0BC17F">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A2253D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2035948</w:t>
            </w:r>
          </w:p>
        </w:tc>
      </w:tr>
      <w:tr w14:paraId="19C7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4745D0">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A18D4E6">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B56B7A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8143AB">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E57AE8">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44148F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2035934</w:t>
            </w:r>
          </w:p>
        </w:tc>
      </w:tr>
      <w:tr w14:paraId="4599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048439">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30B601E">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315F6529">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4E40B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7E361D">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A34A41">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2035939</w:t>
            </w:r>
          </w:p>
        </w:tc>
      </w:tr>
      <w:tr w14:paraId="59EF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A14CD9">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78F7D27">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GIF-H290Z</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E53903A">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电子胃镜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3685D9">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19A99C">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0CE18C2">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2035938</w:t>
            </w:r>
          </w:p>
        </w:tc>
      </w:tr>
    </w:tbl>
    <w:p w14:paraId="3D378F44">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（二）</w:t>
      </w:r>
      <w:r>
        <w:rPr>
          <w:rFonts w:hint="eastAsia" w:cs="Times New Roman"/>
          <w:b/>
          <w:bCs/>
          <w:snapToGrid/>
          <w:spacing w:val="0"/>
          <w:sz w:val="21"/>
          <w:szCs w:val="21"/>
        </w:rPr>
        <w:t>服务内容</w:t>
      </w:r>
      <w:r>
        <w:rPr>
          <w:rFonts w:hint="eastAsia" w:cs="Times New Roman"/>
          <w:b/>
          <w:bCs/>
          <w:snapToGrid/>
          <w:spacing w:val="0"/>
          <w:sz w:val="21"/>
          <w:szCs w:val="21"/>
          <w:lang w:eastAsia="zh-CN"/>
        </w:rPr>
        <w:t>：</w:t>
      </w:r>
    </w:p>
    <w:p w14:paraId="440D1796">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w:t>
      </w:r>
      <w:r>
        <w:rPr>
          <w:rFonts w:hint="eastAsia" w:cs="Times New Roman"/>
          <w:snapToGrid/>
          <w:spacing w:val="0"/>
          <w:sz w:val="21"/>
          <w:szCs w:val="21"/>
          <w:lang w:val="en-US" w:eastAsia="zh-CN"/>
        </w:rPr>
        <w:t>.</w:t>
      </w:r>
      <w:r>
        <w:rPr>
          <w:rFonts w:hint="eastAsia" w:cs="Times New Roman"/>
          <w:snapToGrid/>
          <w:spacing w:val="0"/>
          <w:sz w:val="21"/>
          <w:szCs w:val="21"/>
        </w:rPr>
        <w:t>项目内容：所有的原配部件的故障维修与配件更换。</w:t>
      </w:r>
      <w:r>
        <w:rPr>
          <w:rFonts w:hint="eastAsia" w:cs="Times New Roman"/>
          <w:snapToGrid/>
          <w:spacing w:val="0"/>
          <w:sz w:val="21"/>
          <w:szCs w:val="21"/>
          <w:lang w:eastAsia="zh-CN"/>
        </w:rPr>
        <w:t>中标人</w:t>
      </w:r>
      <w:r>
        <w:rPr>
          <w:rFonts w:hint="eastAsia" w:cs="Times New Roman"/>
          <w:snapToGrid/>
          <w:spacing w:val="0"/>
          <w:sz w:val="21"/>
          <w:szCs w:val="21"/>
        </w:rPr>
        <w:t>必须按国家、行业的标准及</w:t>
      </w:r>
      <w:r>
        <w:rPr>
          <w:rFonts w:hint="eastAsia" w:cs="Times New Roman"/>
          <w:snapToGrid/>
          <w:spacing w:val="0"/>
          <w:sz w:val="21"/>
          <w:szCs w:val="21"/>
          <w:lang w:eastAsia="zh-CN"/>
        </w:rPr>
        <w:t>招标文件</w:t>
      </w:r>
      <w:r>
        <w:rPr>
          <w:rFonts w:hint="eastAsia" w:cs="Times New Roman"/>
          <w:snapToGrid/>
          <w:spacing w:val="0"/>
          <w:sz w:val="21"/>
          <w:szCs w:val="21"/>
        </w:rPr>
        <w:t>的要求对项目内的设备进行系统的、全面的检测、维护及保养，以保证消化内镜的高效、正常运作。并且，对参保的消化内镜进行故障维修、定期预防性保养，根据设备现状或科室需求提供针对性培训等。</w:t>
      </w:r>
    </w:p>
    <w:p w14:paraId="324C7C31">
      <w:pPr>
        <w:pStyle w:val="507"/>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2</w:t>
      </w:r>
      <w:r>
        <w:rPr>
          <w:rFonts w:hint="eastAsia" w:cs="Times New Roman"/>
          <w:snapToGrid/>
          <w:spacing w:val="0"/>
          <w:sz w:val="21"/>
          <w:szCs w:val="21"/>
          <w:lang w:val="en-US" w:eastAsia="zh-CN"/>
        </w:rPr>
        <w:t>.</w:t>
      </w:r>
      <w:r>
        <w:rPr>
          <w:rFonts w:hint="eastAsia" w:cs="Times New Roman"/>
          <w:snapToGrid/>
          <w:spacing w:val="0"/>
          <w:sz w:val="21"/>
          <w:szCs w:val="21"/>
        </w:rPr>
        <w:t>项目实施地点：深圳市第三人民医院</w:t>
      </w:r>
      <w:r>
        <w:rPr>
          <w:rFonts w:hint="eastAsia" w:cs="Times New Roman"/>
          <w:snapToGrid/>
          <w:spacing w:val="0"/>
          <w:sz w:val="21"/>
          <w:szCs w:val="21"/>
          <w:lang w:eastAsia="zh-CN"/>
        </w:rPr>
        <w:t>。</w:t>
      </w:r>
    </w:p>
    <w:p w14:paraId="34707A0F">
      <w:pPr>
        <w:pStyle w:val="507"/>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3</w:t>
      </w:r>
      <w:r>
        <w:rPr>
          <w:rFonts w:hint="eastAsia" w:cs="Times New Roman"/>
          <w:snapToGrid/>
          <w:spacing w:val="0"/>
          <w:sz w:val="21"/>
          <w:szCs w:val="21"/>
          <w:lang w:val="en-US" w:eastAsia="zh-CN"/>
        </w:rPr>
        <w:t>.</w:t>
      </w:r>
      <w:r>
        <w:rPr>
          <w:rFonts w:hint="eastAsia" w:cs="Times New Roman"/>
          <w:snapToGrid/>
          <w:spacing w:val="0"/>
          <w:sz w:val="21"/>
          <w:szCs w:val="21"/>
        </w:rPr>
        <w:t>设备品牌：奥林巴斯</w:t>
      </w:r>
      <w:r>
        <w:rPr>
          <w:rFonts w:hint="eastAsia" w:cs="Times New Roman"/>
          <w:snapToGrid/>
          <w:spacing w:val="0"/>
          <w:sz w:val="21"/>
          <w:szCs w:val="21"/>
          <w:lang w:eastAsia="zh-CN"/>
        </w:rPr>
        <w:t>。</w:t>
      </w:r>
    </w:p>
    <w:p w14:paraId="3C410672">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（三）</w:t>
      </w:r>
      <w:r>
        <w:rPr>
          <w:rFonts w:hint="eastAsia" w:cs="Times New Roman"/>
          <w:b/>
          <w:bCs/>
          <w:snapToGrid/>
          <w:spacing w:val="0"/>
          <w:sz w:val="21"/>
          <w:szCs w:val="21"/>
        </w:rPr>
        <w:t>服务方式</w:t>
      </w:r>
      <w:r>
        <w:rPr>
          <w:rFonts w:hint="eastAsia" w:cs="Times New Roman"/>
          <w:b/>
          <w:bCs/>
          <w:snapToGrid/>
          <w:spacing w:val="0"/>
          <w:sz w:val="21"/>
          <w:szCs w:val="21"/>
          <w:lang w:eastAsia="zh-CN"/>
        </w:rPr>
        <w:t>：</w:t>
      </w:r>
    </w:p>
    <w:p w14:paraId="79693684">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w:t>
      </w:r>
      <w:r>
        <w:rPr>
          <w:rFonts w:hint="eastAsia" w:cs="Times New Roman"/>
          <w:snapToGrid/>
          <w:spacing w:val="0"/>
          <w:sz w:val="21"/>
          <w:szCs w:val="21"/>
        </w:rPr>
        <w:t>维修服务：每次对消化内镜进行维修或保养时需要全面检测内镜情况，所有问题均需一并维修；所保设备发生故障时，</w:t>
      </w:r>
      <w:r>
        <w:rPr>
          <w:rFonts w:hint="eastAsia" w:cs="Times New Roman"/>
          <w:snapToGrid/>
          <w:spacing w:val="0"/>
          <w:sz w:val="21"/>
          <w:szCs w:val="21"/>
          <w:lang w:eastAsia="zh-CN"/>
        </w:rPr>
        <w:t>中标人</w:t>
      </w:r>
      <w:r>
        <w:rPr>
          <w:rFonts w:hint="eastAsia" w:cs="Times New Roman"/>
          <w:snapToGrid/>
          <w:spacing w:val="0"/>
          <w:sz w:val="21"/>
          <w:szCs w:val="21"/>
        </w:rPr>
        <w:t>完全实施免费维修，维修更换配件费、人工费、技术检测费及其它不可预测的费用均包含于合同总价之中，为确保维修品质和安全问题，如出现维修品质问题，医院有权要求</w:t>
      </w:r>
      <w:r>
        <w:rPr>
          <w:rFonts w:hint="eastAsia" w:cs="Times New Roman"/>
          <w:snapToGrid/>
          <w:spacing w:val="0"/>
          <w:sz w:val="21"/>
          <w:szCs w:val="21"/>
          <w:lang w:eastAsia="zh-CN"/>
        </w:rPr>
        <w:t>中标人</w:t>
      </w:r>
      <w:r>
        <w:rPr>
          <w:rFonts w:hint="eastAsia" w:cs="Times New Roman"/>
          <w:snapToGrid/>
          <w:spacing w:val="0"/>
          <w:sz w:val="21"/>
          <w:szCs w:val="21"/>
        </w:rPr>
        <w:t>将设备交予奥林巴斯原厂维修，</w:t>
      </w:r>
      <w:r>
        <w:rPr>
          <w:rFonts w:hint="eastAsia" w:cs="Times New Roman"/>
          <w:snapToGrid/>
          <w:spacing w:val="0"/>
          <w:sz w:val="21"/>
          <w:szCs w:val="21"/>
          <w:lang w:val="en-US" w:eastAsia="zh-CN"/>
        </w:rPr>
        <w:t>零配件</w:t>
      </w:r>
      <w:r>
        <w:rPr>
          <w:rFonts w:hint="eastAsia" w:cs="Times New Roman"/>
          <w:snapToGrid/>
          <w:spacing w:val="0"/>
          <w:sz w:val="21"/>
          <w:szCs w:val="21"/>
        </w:rPr>
        <w:t>费用由</w:t>
      </w:r>
      <w:r>
        <w:rPr>
          <w:rFonts w:hint="eastAsia" w:cs="Times New Roman"/>
          <w:snapToGrid/>
          <w:spacing w:val="0"/>
          <w:sz w:val="21"/>
          <w:szCs w:val="21"/>
          <w:lang w:eastAsia="zh-CN"/>
        </w:rPr>
        <w:t>中标人</w:t>
      </w:r>
      <w:r>
        <w:rPr>
          <w:rFonts w:hint="eastAsia" w:cs="Times New Roman"/>
          <w:snapToGrid/>
          <w:spacing w:val="0"/>
          <w:sz w:val="21"/>
          <w:szCs w:val="21"/>
        </w:rPr>
        <w:t>负责。</w:t>
      </w:r>
    </w:p>
    <w:p w14:paraId="121EDD5C">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b/>
          <w:bCs/>
          <w:snapToGrid/>
          <w:spacing w:val="0"/>
          <w:sz w:val="21"/>
          <w:szCs w:val="21"/>
          <w:highlight w:val="yellow"/>
        </w:rPr>
        <w:t>★</w:t>
      </w:r>
      <w:r>
        <w:rPr>
          <w:rFonts w:hint="eastAsia" w:cs="Times New Roman"/>
          <w:b/>
          <w:bCs/>
          <w:snapToGrid/>
          <w:spacing w:val="0"/>
          <w:sz w:val="21"/>
          <w:szCs w:val="21"/>
          <w:highlight w:val="yellow"/>
          <w:lang w:val="en-US" w:eastAsia="zh-CN"/>
        </w:rPr>
        <w:t>2.</w:t>
      </w:r>
      <w:r>
        <w:rPr>
          <w:rFonts w:hint="eastAsia" w:cs="Times New Roman"/>
          <w:b/>
          <w:bCs/>
          <w:snapToGrid/>
          <w:spacing w:val="0"/>
          <w:sz w:val="21"/>
          <w:szCs w:val="21"/>
          <w:highlight w:val="yellow"/>
        </w:rPr>
        <w:t>提供原厂配件：</w:t>
      </w:r>
      <w:r>
        <w:rPr>
          <w:rFonts w:hint="eastAsia" w:cs="Times New Roman"/>
          <w:b/>
          <w:bCs/>
          <w:snapToGrid/>
          <w:spacing w:val="0"/>
          <w:sz w:val="21"/>
          <w:szCs w:val="21"/>
          <w:highlight w:val="yellow"/>
          <w:lang w:eastAsia="zh-CN"/>
        </w:rPr>
        <w:t>投标人</w:t>
      </w:r>
      <w:r>
        <w:rPr>
          <w:rFonts w:hint="eastAsia" w:cs="Times New Roman"/>
          <w:b/>
          <w:bCs/>
          <w:snapToGrid/>
          <w:spacing w:val="0"/>
          <w:sz w:val="21"/>
          <w:szCs w:val="21"/>
          <w:highlight w:val="yellow"/>
          <w:lang w:val="en-US" w:eastAsia="zh-CN"/>
        </w:rPr>
        <w:t>承诺</w:t>
      </w:r>
      <w:r>
        <w:rPr>
          <w:rFonts w:hint="eastAsia" w:cs="Times New Roman"/>
          <w:b/>
          <w:bCs/>
          <w:snapToGrid/>
          <w:spacing w:val="0"/>
          <w:sz w:val="21"/>
          <w:szCs w:val="21"/>
          <w:highlight w:val="yellow"/>
        </w:rPr>
        <w:t>维修所需的零配件必须是合法合规的原厂配件</w:t>
      </w:r>
      <w:r>
        <w:rPr>
          <w:rFonts w:hint="eastAsia" w:cs="Times New Roman"/>
          <w:b/>
          <w:bCs/>
          <w:snapToGrid/>
          <w:spacing w:val="0"/>
          <w:sz w:val="21"/>
          <w:szCs w:val="21"/>
          <w:highlight w:val="yellow"/>
          <w:lang w:val="en-US" w:eastAsia="zh-CN"/>
        </w:rPr>
        <w:t>（投标时提供承诺函，格式自拟）</w:t>
      </w:r>
      <w:r>
        <w:rPr>
          <w:rFonts w:hint="eastAsia" w:cs="Times New Roman"/>
          <w:b/>
          <w:bCs/>
          <w:snapToGrid/>
          <w:spacing w:val="0"/>
          <w:sz w:val="21"/>
          <w:szCs w:val="21"/>
          <w:highlight w:val="yellow"/>
        </w:rPr>
        <w:t>，如维修的零配件无法出示合法证明，采购人有权要求</w:t>
      </w:r>
      <w:r>
        <w:rPr>
          <w:rFonts w:hint="eastAsia" w:cs="Times New Roman"/>
          <w:b/>
          <w:bCs/>
          <w:snapToGrid/>
          <w:spacing w:val="0"/>
          <w:sz w:val="21"/>
          <w:szCs w:val="21"/>
          <w:highlight w:val="yellow"/>
          <w:lang w:eastAsia="zh-CN"/>
        </w:rPr>
        <w:t>中标人</w:t>
      </w:r>
      <w:r>
        <w:rPr>
          <w:rFonts w:hint="eastAsia" w:cs="Times New Roman"/>
          <w:b/>
          <w:bCs/>
          <w:snapToGrid/>
          <w:spacing w:val="0"/>
          <w:sz w:val="21"/>
          <w:szCs w:val="21"/>
          <w:highlight w:val="yellow"/>
        </w:rPr>
        <w:t>将设备交予奥林巴斯原厂维修。</w:t>
      </w:r>
    </w:p>
    <w:p w14:paraId="30899321">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3.</w:t>
      </w:r>
      <w:r>
        <w:rPr>
          <w:rFonts w:hint="eastAsia" w:cs="Times New Roman"/>
          <w:snapToGrid/>
          <w:spacing w:val="0"/>
          <w:sz w:val="21"/>
          <w:szCs w:val="21"/>
        </w:rPr>
        <w:t>定期保养：</w:t>
      </w:r>
      <w:r>
        <w:rPr>
          <w:rFonts w:hint="eastAsia" w:cs="Times New Roman"/>
          <w:snapToGrid/>
          <w:spacing w:val="0"/>
          <w:sz w:val="21"/>
          <w:szCs w:val="21"/>
          <w:lang w:eastAsia="zh-CN"/>
        </w:rPr>
        <w:t>投标人</w:t>
      </w:r>
      <w:r>
        <w:rPr>
          <w:rFonts w:hint="eastAsia" w:cs="Times New Roman"/>
          <w:snapToGrid/>
          <w:spacing w:val="0"/>
          <w:sz w:val="21"/>
          <w:szCs w:val="21"/>
        </w:rPr>
        <w:t>提供每年≥4次预防性保养，并提供设备制造原厂的点检报告单及维护记录；根据采购人内镜现状或科室需求，有针对性地对使用人员培训相关设备的操作技术。</w:t>
      </w:r>
    </w:p>
    <w:p w14:paraId="62A5E909">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4.</w:t>
      </w:r>
      <w:r>
        <w:rPr>
          <w:rFonts w:hint="eastAsia" w:cs="Times New Roman"/>
          <w:snapToGrid/>
          <w:spacing w:val="0"/>
          <w:sz w:val="21"/>
          <w:szCs w:val="21"/>
        </w:rPr>
        <w:t>响应速度：</w:t>
      </w:r>
      <w:r>
        <w:rPr>
          <w:rFonts w:hint="eastAsia" w:cs="Times New Roman"/>
          <w:snapToGrid/>
          <w:spacing w:val="0"/>
          <w:sz w:val="21"/>
          <w:szCs w:val="21"/>
          <w:lang w:eastAsia="zh-CN"/>
        </w:rPr>
        <w:t>投标人</w:t>
      </w:r>
      <w:r>
        <w:rPr>
          <w:rFonts w:hint="eastAsia" w:cs="Times New Roman"/>
          <w:snapToGrid/>
          <w:spacing w:val="0"/>
          <w:sz w:val="21"/>
          <w:szCs w:val="21"/>
        </w:rPr>
        <w:t>应急维修≤2小时内响应，≤24小时内到达现场维护，如不能解决问题，</w:t>
      </w:r>
      <w:r>
        <w:rPr>
          <w:rFonts w:hint="eastAsia" w:cs="Times New Roman"/>
          <w:snapToGrid/>
          <w:spacing w:val="0"/>
          <w:sz w:val="21"/>
          <w:szCs w:val="21"/>
          <w:lang w:eastAsia="zh-CN"/>
        </w:rPr>
        <w:t>投标人</w:t>
      </w:r>
      <w:r>
        <w:rPr>
          <w:rFonts w:hint="eastAsia" w:cs="Times New Roman"/>
          <w:snapToGrid/>
          <w:spacing w:val="0"/>
          <w:sz w:val="21"/>
          <w:szCs w:val="21"/>
        </w:rPr>
        <w:t>将提供相应备品。</w:t>
      </w:r>
    </w:p>
    <w:p w14:paraId="39A2D3FD">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w:t>
      </w:r>
      <w:r>
        <w:rPr>
          <w:rFonts w:hint="eastAsia" w:cs="Times New Roman"/>
          <w:snapToGrid/>
          <w:spacing w:val="0"/>
          <w:sz w:val="21"/>
          <w:szCs w:val="21"/>
          <w:lang w:val="en-US" w:eastAsia="zh-CN"/>
        </w:rPr>
        <w:t>5.</w:t>
      </w:r>
      <w:r>
        <w:rPr>
          <w:rFonts w:hint="eastAsia" w:cs="Times New Roman"/>
          <w:snapToGrid/>
          <w:spacing w:val="0"/>
          <w:sz w:val="21"/>
          <w:szCs w:val="21"/>
        </w:rPr>
        <w:t>备品供应：</w:t>
      </w:r>
      <w:r>
        <w:rPr>
          <w:rFonts w:hint="eastAsia" w:cs="Times New Roman"/>
          <w:snapToGrid/>
          <w:spacing w:val="0"/>
          <w:sz w:val="21"/>
          <w:szCs w:val="21"/>
          <w:lang w:eastAsia="zh-CN"/>
        </w:rPr>
        <w:t>投标人</w:t>
      </w:r>
      <w:r>
        <w:rPr>
          <w:rFonts w:hint="eastAsia" w:cs="Times New Roman"/>
          <w:snapToGrid/>
          <w:spacing w:val="0"/>
          <w:sz w:val="21"/>
          <w:szCs w:val="21"/>
          <w:lang w:val="en-US" w:eastAsia="zh-CN"/>
        </w:rPr>
        <w:t>承诺</w:t>
      </w:r>
      <w:r>
        <w:rPr>
          <w:rFonts w:hint="eastAsia" w:cs="Times New Roman"/>
          <w:snapToGrid/>
          <w:spacing w:val="0"/>
          <w:sz w:val="21"/>
          <w:szCs w:val="21"/>
        </w:rPr>
        <w:t>≤2个工作日内提供相应备品，且备品必须是维修品同品牌同一系列的备品(如 GIF-H290Z、PCF-H290ZI、TJF TYPE 260V等，必须提供该型号内镜)</w:t>
      </w:r>
      <w:r>
        <w:rPr>
          <w:rFonts w:hint="eastAsia" w:cs="Times New Roman"/>
          <w:snapToGrid/>
          <w:spacing w:val="0"/>
          <w:sz w:val="21"/>
          <w:szCs w:val="21"/>
          <w:lang w:val="en-US" w:eastAsia="zh-CN"/>
        </w:rPr>
        <w:t>（投标时提供承诺函，格式自拟）；服务执行期间，备用内镜需提供报关单及检验检疫证明，无法出示证明，采购人有权要求中标人交奥林巴斯原厂维修</w:t>
      </w:r>
      <w:r>
        <w:rPr>
          <w:rFonts w:hint="eastAsia" w:cs="Times New Roman"/>
          <w:snapToGrid/>
          <w:spacing w:val="0"/>
          <w:sz w:val="21"/>
          <w:szCs w:val="21"/>
        </w:rPr>
        <w:t>。</w:t>
      </w:r>
    </w:p>
    <w:p w14:paraId="18E6CE7D">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6.</w:t>
      </w:r>
      <w:r>
        <w:rPr>
          <w:rFonts w:hint="eastAsia" w:cs="Times New Roman"/>
          <w:snapToGrid/>
          <w:spacing w:val="0"/>
          <w:sz w:val="21"/>
          <w:szCs w:val="21"/>
        </w:rPr>
        <w:t>服务标准：每次的维修或保养需要全面检查内镜情况，所有问题均需维修；</w:t>
      </w:r>
      <w:r>
        <w:rPr>
          <w:rFonts w:hint="eastAsia" w:cs="Times New Roman"/>
          <w:snapToGrid/>
          <w:spacing w:val="0"/>
          <w:sz w:val="21"/>
          <w:szCs w:val="21"/>
          <w:lang w:eastAsia="zh-CN"/>
        </w:rPr>
        <w:t>投标人</w:t>
      </w:r>
      <w:r>
        <w:rPr>
          <w:rFonts w:hint="eastAsia" w:cs="Times New Roman"/>
          <w:snapToGrid/>
          <w:spacing w:val="0"/>
          <w:sz w:val="21"/>
          <w:szCs w:val="21"/>
        </w:rPr>
        <w:t>对设备进行的日常检查、维护、保养、维修等活动在没有更优的方案时，应严格按照设备原厂的维修保养要求进行。</w:t>
      </w:r>
    </w:p>
    <w:p w14:paraId="71578706">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w:t>
      </w:r>
      <w:r>
        <w:rPr>
          <w:rFonts w:hint="eastAsia" w:cs="Times New Roman"/>
          <w:snapToGrid/>
          <w:spacing w:val="0"/>
          <w:sz w:val="21"/>
          <w:szCs w:val="21"/>
          <w:lang w:val="en-US" w:eastAsia="zh-CN"/>
        </w:rPr>
        <w:t>7.</w:t>
      </w:r>
      <w:r>
        <w:rPr>
          <w:rFonts w:hint="eastAsia" w:cs="Times New Roman"/>
          <w:snapToGrid/>
          <w:spacing w:val="0"/>
          <w:sz w:val="21"/>
          <w:szCs w:val="21"/>
        </w:rPr>
        <w:t>修理厂家资质：为确保维修品质，修理厂家需具备ISO9001认证</w:t>
      </w:r>
      <w:r>
        <w:rPr>
          <w:rFonts w:hint="eastAsia" w:cs="Times New Roman"/>
          <w:snapToGrid/>
          <w:spacing w:val="0"/>
          <w:sz w:val="21"/>
          <w:szCs w:val="21"/>
          <w:lang w:eastAsia="zh-CN"/>
        </w:rPr>
        <w:t>、</w:t>
      </w:r>
      <w:r>
        <w:rPr>
          <w:rFonts w:hint="eastAsia" w:cs="Times New Roman"/>
          <w:snapToGrid/>
          <w:spacing w:val="0"/>
          <w:sz w:val="21"/>
          <w:szCs w:val="21"/>
        </w:rPr>
        <w:t>ISO13485认证、ISO14001认证（</w:t>
      </w:r>
      <w:r>
        <w:rPr>
          <w:rFonts w:hint="eastAsia" w:cs="Times New Roman"/>
          <w:snapToGrid/>
          <w:spacing w:val="0"/>
          <w:sz w:val="21"/>
          <w:szCs w:val="21"/>
          <w:lang w:val="en-US" w:eastAsia="zh-CN"/>
        </w:rPr>
        <w:t>投标人需在投标文件中</w:t>
      </w:r>
      <w:r>
        <w:rPr>
          <w:rFonts w:hint="eastAsia" w:cs="Times New Roman"/>
          <w:snapToGrid/>
          <w:spacing w:val="0"/>
          <w:sz w:val="21"/>
          <w:szCs w:val="21"/>
        </w:rPr>
        <w:t>提供修理厂家</w:t>
      </w:r>
      <w:r>
        <w:rPr>
          <w:rFonts w:hint="eastAsia" w:cs="Times New Roman"/>
          <w:snapToGrid/>
          <w:spacing w:val="0"/>
          <w:sz w:val="21"/>
          <w:szCs w:val="21"/>
          <w:lang w:eastAsia="zh-CN"/>
        </w:rPr>
        <w:t>的</w:t>
      </w:r>
      <w:r>
        <w:rPr>
          <w:rFonts w:hint="eastAsia" w:cs="Times New Roman"/>
          <w:snapToGrid/>
          <w:spacing w:val="0"/>
          <w:sz w:val="21"/>
          <w:szCs w:val="21"/>
        </w:rPr>
        <w:t>认证证书扫描件</w:t>
      </w:r>
      <w:r>
        <w:rPr>
          <w:rFonts w:hint="eastAsia" w:cs="Times New Roman"/>
          <w:snapToGrid/>
          <w:spacing w:val="0"/>
          <w:sz w:val="21"/>
          <w:szCs w:val="21"/>
          <w:lang w:val="en-US" w:eastAsia="zh-CN"/>
        </w:rPr>
        <w:t>或复印件作为证明材料</w:t>
      </w:r>
      <w:r>
        <w:rPr>
          <w:rFonts w:hint="eastAsia" w:cs="Times New Roman"/>
          <w:snapToGrid/>
          <w:spacing w:val="0"/>
          <w:sz w:val="21"/>
          <w:szCs w:val="21"/>
        </w:rPr>
        <w:t>）。</w:t>
      </w:r>
    </w:p>
    <w:p w14:paraId="1C6EB602">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w:t>
      </w:r>
      <w:r>
        <w:rPr>
          <w:rFonts w:hint="eastAsia" w:cs="Times New Roman"/>
          <w:snapToGrid/>
          <w:spacing w:val="0"/>
          <w:sz w:val="21"/>
          <w:szCs w:val="21"/>
          <w:lang w:val="en-US" w:eastAsia="zh-CN"/>
        </w:rPr>
        <w:t>8.</w:t>
      </w:r>
      <w:r>
        <w:rPr>
          <w:rFonts w:hint="eastAsia" w:cs="Times New Roman"/>
          <w:snapToGrid/>
          <w:spacing w:val="0"/>
          <w:sz w:val="21"/>
          <w:szCs w:val="21"/>
        </w:rPr>
        <w:t>培训要求：</w:t>
      </w:r>
      <w:r>
        <w:rPr>
          <w:rFonts w:hint="eastAsia" w:cs="Times New Roman"/>
          <w:snapToGrid/>
          <w:spacing w:val="0"/>
          <w:sz w:val="21"/>
          <w:szCs w:val="21"/>
          <w:lang w:eastAsia="zh-CN"/>
        </w:rPr>
        <w:t>投标人</w:t>
      </w:r>
      <w:r>
        <w:rPr>
          <w:rFonts w:hint="eastAsia" w:cs="Times New Roman"/>
          <w:snapToGrid/>
          <w:spacing w:val="0"/>
          <w:sz w:val="21"/>
          <w:szCs w:val="21"/>
        </w:rPr>
        <w:t>需提供每年≥2次的清洗、消毒保养培训，由设备制造商原厂工程师或者经设备制造商原厂培训认可的工程师</w:t>
      </w:r>
      <w:r>
        <w:rPr>
          <w:rFonts w:hint="default" w:cs="Times New Roman"/>
          <w:snapToGrid/>
          <w:spacing w:val="0"/>
          <w:sz w:val="21"/>
          <w:szCs w:val="21"/>
          <w:lang w:val="en-US" w:eastAsia="zh-CN"/>
        </w:rPr>
        <w:t>（</w:t>
      </w:r>
      <w:r>
        <w:rPr>
          <w:rFonts w:hint="eastAsia" w:cs="Times New Roman"/>
          <w:snapToGrid/>
          <w:spacing w:val="0"/>
          <w:sz w:val="21"/>
          <w:szCs w:val="21"/>
          <w:lang w:val="en-US" w:eastAsia="zh-CN"/>
        </w:rPr>
        <w:t>投标人需在投标文件中</w:t>
      </w:r>
      <w:r>
        <w:rPr>
          <w:rFonts w:hint="default" w:cs="Times New Roman"/>
          <w:snapToGrid/>
          <w:spacing w:val="0"/>
          <w:sz w:val="21"/>
          <w:szCs w:val="21"/>
          <w:lang w:val="en-US" w:eastAsia="zh-CN"/>
        </w:rPr>
        <w:t>提供</w:t>
      </w:r>
      <w:r>
        <w:rPr>
          <w:rFonts w:hint="eastAsia" w:cs="Times New Roman"/>
          <w:snapToGrid/>
          <w:spacing w:val="0"/>
          <w:sz w:val="21"/>
          <w:szCs w:val="21"/>
          <w:lang w:val="en-US" w:eastAsia="zh-CN"/>
        </w:rPr>
        <w:t>设备制造商</w:t>
      </w:r>
      <w:r>
        <w:rPr>
          <w:rFonts w:hint="default" w:cs="Times New Roman"/>
          <w:snapToGrid/>
          <w:spacing w:val="0"/>
          <w:sz w:val="21"/>
          <w:szCs w:val="21"/>
          <w:lang w:val="en-US" w:eastAsia="zh-CN"/>
        </w:rPr>
        <w:t>原厂颁发</w:t>
      </w:r>
      <w:r>
        <w:rPr>
          <w:rFonts w:hint="eastAsia" w:cs="Times New Roman"/>
          <w:snapToGrid/>
          <w:spacing w:val="0"/>
          <w:sz w:val="21"/>
          <w:szCs w:val="21"/>
          <w:lang w:val="en-US" w:eastAsia="zh-CN"/>
        </w:rPr>
        <w:t>的</w:t>
      </w:r>
      <w:r>
        <w:rPr>
          <w:rFonts w:hint="default" w:cs="Times New Roman"/>
          <w:snapToGrid/>
          <w:spacing w:val="0"/>
          <w:sz w:val="21"/>
          <w:szCs w:val="21"/>
          <w:lang w:val="en-US" w:eastAsia="zh-CN"/>
        </w:rPr>
        <w:t>有效期内市场服务工程师资格证</w:t>
      </w:r>
      <w:r>
        <w:rPr>
          <w:rFonts w:hint="eastAsia" w:cs="Times New Roman"/>
          <w:snapToGrid/>
          <w:spacing w:val="0"/>
          <w:sz w:val="21"/>
          <w:szCs w:val="21"/>
          <w:lang w:val="en-US" w:eastAsia="zh-CN"/>
        </w:rPr>
        <w:t>书或设备制造商</w:t>
      </w:r>
      <w:r>
        <w:rPr>
          <w:rFonts w:hint="default" w:cs="Times New Roman"/>
          <w:snapToGrid/>
          <w:spacing w:val="0"/>
          <w:sz w:val="21"/>
          <w:szCs w:val="21"/>
          <w:lang w:val="en-US" w:eastAsia="zh-CN"/>
        </w:rPr>
        <w:t>原厂颁发</w:t>
      </w:r>
      <w:r>
        <w:rPr>
          <w:rFonts w:hint="eastAsia" w:cs="Times New Roman"/>
          <w:snapToGrid/>
          <w:spacing w:val="0"/>
          <w:sz w:val="21"/>
          <w:szCs w:val="21"/>
          <w:lang w:val="en-US" w:eastAsia="zh-CN"/>
        </w:rPr>
        <w:t>的培训证书</w:t>
      </w:r>
      <w:r>
        <w:rPr>
          <w:rFonts w:hint="eastAsia" w:cs="Times New Roman"/>
          <w:snapToGrid/>
          <w:spacing w:val="0"/>
          <w:sz w:val="21"/>
          <w:szCs w:val="21"/>
        </w:rPr>
        <w:t>扫描件</w:t>
      </w:r>
      <w:r>
        <w:rPr>
          <w:rFonts w:hint="eastAsia" w:cs="Times New Roman"/>
          <w:snapToGrid/>
          <w:spacing w:val="0"/>
          <w:sz w:val="21"/>
          <w:szCs w:val="21"/>
          <w:lang w:val="en-US" w:eastAsia="zh-CN"/>
        </w:rPr>
        <w:t>或复印件作为证明材料</w:t>
      </w:r>
      <w:r>
        <w:rPr>
          <w:rFonts w:hint="default" w:cs="Times New Roman"/>
          <w:snapToGrid/>
          <w:spacing w:val="0"/>
          <w:sz w:val="21"/>
          <w:szCs w:val="21"/>
          <w:lang w:val="en-US" w:eastAsia="zh-CN"/>
        </w:rPr>
        <w:t>）</w:t>
      </w:r>
      <w:r>
        <w:rPr>
          <w:rFonts w:hint="eastAsia" w:cs="Times New Roman"/>
          <w:snapToGrid/>
          <w:spacing w:val="0"/>
          <w:sz w:val="21"/>
          <w:szCs w:val="21"/>
        </w:rPr>
        <w:t>负责培训，并出具正式的培训记录。</w:t>
      </w:r>
    </w:p>
    <w:p w14:paraId="6D59471C">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b/>
          <w:bCs/>
          <w:snapToGrid/>
          <w:spacing w:val="0"/>
          <w:sz w:val="21"/>
          <w:szCs w:val="21"/>
          <w:lang w:val="en-US" w:eastAsia="zh-CN"/>
        </w:rPr>
        <w:t>（四）</w:t>
      </w:r>
      <w:r>
        <w:rPr>
          <w:rFonts w:hint="eastAsia" w:cs="Times New Roman"/>
          <w:b/>
          <w:bCs/>
          <w:snapToGrid/>
          <w:spacing w:val="0"/>
          <w:sz w:val="21"/>
          <w:szCs w:val="21"/>
        </w:rPr>
        <w:t>提交成果</w:t>
      </w:r>
      <w:r>
        <w:rPr>
          <w:rFonts w:hint="eastAsia" w:cs="Times New Roman"/>
          <w:b/>
          <w:bCs/>
          <w:snapToGrid/>
          <w:spacing w:val="0"/>
          <w:sz w:val="21"/>
          <w:szCs w:val="21"/>
          <w:lang w:eastAsia="zh-CN"/>
        </w:rPr>
        <w:t>：</w:t>
      </w:r>
    </w:p>
    <w:p w14:paraId="2E747B5E">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w:t>
      </w:r>
      <w:r>
        <w:rPr>
          <w:rFonts w:hint="eastAsia" w:cs="Times New Roman"/>
          <w:snapToGrid/>
          <w:spacing w:val="0"/>
          <w:sz w:val="21"/>
          <w:szCs w:val="21"/>
        </w:rPr>
        <w:t>服务期内设备正常使用，年度保修服务结束出具年度保修服务总结。</w:t>
      </w:r>
    </w:p>
    <w:p w14:paraId="6288DC8D">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b/>
          <w:bCs/>
          <w:snapToGrid/>
          <w:spacing w:val="0"/>
          <w:sz w:val="21"/>
          <w:szCs w:val="21"/>
          <w:lang w:val="en-US" w:eastAsia="zh-CN"/>
        </w:rPr>
        <w:t>（五）</w:t>
      </w:r>
      <w:r>
        <w:rPr>
          <w:rFonts w:hint="eastAsia" w:cs="Times New Roman"/>
          <w:b/>
          <w:bCs/>
          <w:snapToGrid/>
          <w:spacing w:val="0"/>
          <w:sz w:val="21"/>
          <w:szCs w:val="21"/>
        </w:rPr>
        <w:t>人员要求</w:t>
      </w:r>
      <w:r>
        <w:rPr>
          <w:rFonts w:hint="eastAsia" w:cs="Times New Roman"/>
          <w:b/>
          <w:bCs/>
          <w:snapToGrid/>
          <w:spacing w:val="0"/>
          <w:sz w:val="21"/>
          <w:szCs w:val="21"/>
          <w:lang w:eastAsia="zh-CN"/>
        </w:rPr>
        <w:t>：</w:t>
      </w:r>
    </w:p>
    <w:p w14:paraId="4FA2188F">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投标人需提供设备制造商原厂工程师或经设备制造商原厂培训认证的工程师专门负责采购单位设备的维修和相应的培训工作，如指定工程师有变更，需提前通知采购人变更情况。周一至周日，一旦服务范围内的设备出现故障，工程师保证≤24小时内提供现场支持，并提供24小时×7天的电话支持。</w:t>
      </w:r>
    </w:p>
    <w:p w14:paraId="7D0E9622">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（六）</w:t>
      </w:r>
      <w:r>
        <w:rPr>
          <w:rFonts w:hint="eastAsia" w:cs="Times New Roman"/>
          <w:b/>
          <w:bCs/>
          <w:snapToGrid/>
          <w:spacing w:val="0"/>
          <w:sz w:val="21"/>
          <w:szCs w:val="21"/>
        </w:rPr>
        <w:t>验收要求</w:t>
      </w:r>
      <w:r>
        <w:rPr>
          <w:rFonts w:hint="eastAsia" w:cs="Times New Roman"/>
          <w:b/>
          <w:bCs/>
          <w:snapToGrid/>
          <w:spacing w:val="0"/>
          <w:sz w:val="21"/>
          <w:szCs w:val="21"/>
          <w:lang w:eastAsia="zh-CN"/>
        </w:rPr>
        <w:t>：</w:t>
      </w:r>
    </w:p>
    <w:p w14:paraId="254CDA38">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w:t>
      </w:r>
      <w:r>
        <w:rPr>
          <w:rFonts w:hint="eastAsia" w:cs="Times New Roman"/>
          <w:snapToGrid/>
          <w:spacing w:val="0"/>
          <w:sz w:val="21"/>
          <w:szCs w:val="21"/>
          <w:lang w:val="en-US" w:eastAsia="zh-CN"/>
        </w:rPr>
        <w:t>.</w:t>
      </w:r>
      <w:r>
        <w:rPr>
          <w:rFonts w:hint="eastAsia" w:cs="Times New Roman"/>
          <w:snapToGrid/>
          <w:spacing w:val="0"/>
          <w:sz w:val="21"/>
          <w:szCs w:val="21"/>
        </w:rPr>
        <w:t>外观：设备各按钮、开关、旋钮有无松动及错位，插头插座无氧化、锈蚀或接触不良，相关部件无老化、缺损，各种连接线的连接和管道连接正确。</w:t>
      </w:r>
    </w:p>
    <w:p w14:paraId="3AA9732D">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w:t>
      </w:r>
      <w:r>
        <w:rPr>
          <w:rFonts w:hint="eastAsia" w:cs="Times New Roman"/>
          <w:snapToGrid/>
          <w:spacing w:val="0"/>
          <w:sz w:val="21"/>
          <w:szCs w:val="21"/>
        </w:rPr>
        <w:t>功能：图像画质正常，各按钮正常灵敏，角度、光亮度等均正常。</w:t>
      </w:r>
    </w:p>
    <w:p w14:paraId="1BC2040B">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w:t>
      </w:r>
      <w:r>
        <w:rPr>
          <w:rFonts w:hint="eastAsia" w:cs="Times New Roman"/>
          <w:snapToGrid/>
          <w:spacing w:val="0"/>
          <w:sz w:val="21"/>
          <w:szCs w:val="21"/>
          <w:lang w:val="en-US" w:eastAsia="zh-CN"/>
        </w:rPr>
        <w:t>.</w:t>
      </w:r>
      <w:r>
        <w:rPr>
          <w:rFonts w:hint="eastAsia" w:cs="Times New Roman"/>
          <w:snapToGrid/>
          <w:spacing w:val="0"/>
          <w:sz w:val="21"/>
          <w:szCs w:val="21"/>
        </w:rPr>
        <w:t>测漏：按照测漏流程全程测试，无泄漏。</w:t>
      </w:r>
    </w:p>
    <w:p w14:paraId="48C1F84F">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w:t>
      </w:r>
      <w:r>
        <w:rPr>
          <w:rFonts w:hint="eastAsia" w:cs="Times New Roman"/>
          <w:snapToGrid/>
          <w:spacing w:val="0"/>
          <w:sz w:val="21"/>
          <w:szCs w:val="21"/>
          <w:lang w:val="en-US" w:eastAsia="zh-CN"/>
        </w:rPr>
        <w:t>.细菌</w:t>
      </w:r>
      <w:r>
        <w:rPr>
          <w:rFonts w:hint="eastAsia" w:cs="Times New Roman"/>
          <w:snapToGrid/>
          <w:spacing w:val="0"/>
          <w:sz w:val="21"/>
          <w:szCs w:val="21"/>
        </w:rPr>
        <w:t>培养</w:t>
      </w:r>
      <w:r>
        <w:rPr>
          <w:rFonts w:hint="eastAsia" w:cs="Times New Roman"/>
          <w:snapToGrid/>
          <w:spacing w:val="0"/>
          <w:sz w:val="21"/>
          <w:szCs w:val="21"/>
          <w:lang w:val="en-US" w:eastAsia="zh-CN"/>
        </w:rPr>
        <w:t>检测</w:t>
      </w:r>
      <w:r>
        <w:rPr>
          <w:rFonts w:hint="eastAsia" w:cs="Times New Roman"/>
          <w:snapToGrid/>
          <w:spacing w:val="0"/>
          <w:sz w:val="21"/>
          <w:szCs w:val="21"/>
        </w:rPr>
        <w:t>：维修保养后消化内镜各个管路的生物学检测均合格，如检测结果异常需返厂处理。</w:t>
      </w:r>
    </w:p>
    <w:p w14:paraId="5B5FCC63">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5</w:t>
      </w:r>
      <w:r>
        <w:rPr>
          <w:rFonts w:hint="eastAsia" w:cs="Times New Roman"/>
          <w:snapToGrid/>
          <w:spacing w:val="0"/>
          <w:sz w:val="21"/>
          <w:szCs w:val="21"/>
          <w:lang w:val="en-US" w:eastAsia="zh-CN"/>
        </w:rPr>
        <w:t>.</w:t>
      </w:r>
      <w:r>
        <w:rPr>
          <w:rFonts w:hint="eastAsia" w:cs="Times New Roman"/>
          <w:snapToGrid/>
          <w:spacing w:val="0"/>
          <w:sz w:val="21"/>
          <w:szCs w:val="21"/>
        </w:rPr>
        <w:t>使用：如使用者提出日常使用消化内镜诊疗手感异常（如软硬度及松紧），需复检复修。</w:t>
      </w:r>
    </w:p>
    <w:p w14:paraId="00254149">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E96071C">
      <w:pPr>
        <w:pStyle w:val="322"/>
        <w:keepNext w:val="0"/>
        <w:keepLines w:val="0"/>
        <w:pageBreakBefore w:val="0"/>
        <w:widowControl w:val="0"/>
        <w:kinsoku/>
        <w:wordWrap/>
        <w:overflowPunct/>
        <w:topLinePunct w:val="0"/>
        <w:bidi w:val="0"/>
        <w:ind w:firstLine="0" w:firstLineChars="0"/>
        <w:rPr>
          <w:b/>
        </w:rPr>
      </w:pPr>
      <w:r>
        <w:rPr>
          <w:rFonts w:hint="eastAsia"/>
          <w:b/>
        </w:rPr>
        <w:t>三、项目商务要求</w:t>
      </w:r>
    </w:p>
    <w:p w14:paraId="685019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（一）</w:t>
      </w:r>
      <w:r>
        <w:rPr>
          <w:rFonts w:hint="eastAsia" w:ascii="宋体" w:hAnsi="宋体" w:cs="楷体"/>
          <w:b/>
          <w:bCs w:val="0"/>
        </w:rPr>
        <w:t>报价要求</w:t>
      </w:r>
      <w:r>
        <w:rPr>
          <w:rFonts w:hint="eastAsia" w:ascii="宋体" w:hAnsi="宋体" w:cs="楷体"/>
          <w:b/>
          <w:bCs w:val="0"/>
          <w:lang w:eastAsia="zh-CN"/>
        </w:rPr>
        <w:t>：</w:t>
      </w:r>
    </w:p>
    <w:p w14:paraId="359031B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1</w:t>
      </w:r>
      <w:r>
        <w:rPr>
          <w:rFonts w:hint="eastAsia" w:ascii="宋体" w:hAnsi="宋体" w:cs="楷体"/>
          <w:bCs/>
          <w:lang w:val="en-US" w:eastAsia="zh-CN"/>
        </w:rPr>
        <w:t>.</w:t>
      </w:r>
      <w:r>
        <w:rPr>
          <w:rFonts w:hint="eastAsia" w:ascii="宋体" w:hAnsi="宋体" w:cs="楷体"/>
          <w:bCs/>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9A23B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2</w:t>
      </w:r>
      <w:r>
        <w:rPr>
          <w:rFonts w:hint="eastAsia" w:ascii="宋体" w:hAnsi="宋体" w:cs="楷体"/>
          <w:bCs/>
          <w:lang w:val="en-US" w:eastAsia="zh-CN"/>
        </w:rPr>
        <w:t>.</w:t>
      </w:r>
      <w:r>
        <w:rPr>
          <w:rFonts w:hint="eastAsia" w:ascii="宋体" w:hAnsi="宋体" w:cs="楷体"/>
          <w:bCs/>
        </w:rPr>
        <w:t>投标人的投标报价，应是本项目招标范围和招标文件及合同条款上所列的各项内容中所述的全部，不得以任何理由予以重复，并以投标人在投标文件中提出的综合单价或总价为依据。</w:t>
      </w:r>
    </w:p>
    <w:p w14:paraId="489DE52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3</w:t>
      </w:r>
      <w:r>
        <w:rPr>
          <w:rFonts w:hint="eastAsia" w:ascii="宋体" w:hAnsi="宋体" w:cs="楷体"/>
          <w:bCs/>
          <w:lang w:val="en-US" w:eastAsia="zh-CN"/>
        </w:rPr>
        <w:t>.</w:t>
      </w:r>
      <w:r>
        <w:rPr>
          <w:rFonts w:hint="eastAsia" w:ascii="宋体" w:hAnsi="宋体" w:cs="楷体"/>
          <w:bCs/>
        </w:rPr>
        <w:t>除非采购</w:t>
      </w:r>
      <w:r>
        <w:rPr>
          <w:rFonts w:hint="eastAsia" w:ascii="宋体" w:hAnsi="宋体" w:cs="楷体"/>
          <w:bCs/>
          <w:lang w:val="en-US" w:eastAsia="zh-CN"/>
        </w:rPr>
        <w:t>代理</w:t>
      </w:r>
      <w:r>
        <w:rPr>
          <w:rFonts w:hint="eastAsia" w:ascii="宋体" w:hAnsi="宋体" w:cs="楷体"/>
          <w:bCs/>
        </w:rPr>
        <w:t>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2684AC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4</w:t>
      </w:r>
      <w:r>
        <w:rPr>
          <w:rFonts w:hint="eastAsia" w:ascii="宋体" w:hAnsi="宋体" w:cs="楷体"/>
          <w:bCs/>
          <w:lang w:val="en-US" w:eastAsia="zh-CN"/>
        </w:rPr>
        <w:t>.</w:t>
      </w:r>
      <w:r>
        <w:rPr>
          <w:rFonts w:hint="eastAsia" w:ascii="宋体" w:hAnsi="宋体" w:cs="楷体"/>
          <w:bCs/>
        </w:rPr>
        <w:t>投标人应充分了解项目的位置、情况、道路及任何其它足以影响投标报价的情况，任何因忽视或误解项目情况而导致的索赔或服务期限延长申请将不获批准。</w:t>
      </w:r>
    </w:p>
    <w:p w14:paraId="0F35544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5</w:t>
      </w:r>
      <w:r>
        <w:rPr>
          <w:rFonts w:hint="eastAsia" w:ascii="宋体" w:hAnsi="宋体" w:cs="楷体"/>
          <w:bCs/>
          <w:lang w:val="en-US" w:eastAsia="zh-CN"/>
        </w:rPr>
        <w:t>.</w:t>
      </w:r>
      <w:r>
        <w:rPr>
          <w:rFonts w:hint="eastAsia" w:ascii="宋体" w:hAnsi="宋体" w:cs="楷体"/>
          <w:bCs/>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25696C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6</w:t>
      </w:r>
      <w:r>
        <w:rPr>
          <w:rFonts w:hint="eastAsia" w:ascii="宋体" w:hAnsi="宋体" w:cs="楷体"/>
          <w:bCs/>
          <w:lang w:val="en-US" w:eastAsia="zh-CN"/>
        </w:rPr>
        <w:t>.</w:t>
      </w:r>
      <w:r>
        <w:rPr>
          <w:rFonts w:hint="eastAsia" w:ascii="宋体" w:hAnsi="宋体" w:cs="楷体"/>
          <w:bCs/>
        </w:rPr>
        <w:t xml:space="preserve">投标人须考虑本项目在实施期间的一切可能产生的费用。在项目实施过程中，如项目工作范围发生变更，由中标人和采购人双方协商解决；其余情况下，投标总价均不予调整。  </w:t>
      </w:r>
    </w:p>
    <w:p w14:paraId="13C89C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（二）</w:t>
      </w:r>
      <w:r>
        <w:rPr>
          <w:rFonts w:hint="eastAsia" w:ascii="宋体" w:hAnsi="宋体" w:cs="楷体"/>
          <w:b/>
          <w:bCs w:val="0"/>
        </w:rPr>
        <w:t>支付要求</w:t>
      </w:r>
      <w:r>
        <w:rPr>
          <w:rFonts w:hint="eastAsia" w:ascii="宋体" w:hAnsi="宋体" w:cs="楷体"/>
          <w:b/>
          <w:bCs w:val="0"/>
          <w:lang w:eastAsia="zh-CN"/>
        </w:rPr>
        <w:t>：</w:t>
      </w:r>
    </w:p>
    <w:p w14:paraId="0DA45B20">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签订合同后，采购人在收到发票后内向中标人支付合同总价的</w:t>
      </w:r>
      <w:r>
        <w:rPr>
          <w:rFonts w:hint="eastAsia" w:ascii="宋体" w:hAnsi="宋体" w:cs="楷体"/>
          <w:bCs/>
          <w:lang w:val="en-US" w:eastAsia="zh-CN"/>
        </w:rPr>
        <w:t>50</w:t>
      </w:r>
      <w:r>
        <w:rPr>
          <w:rFonts w:hint="eastAsia" w:ascii="宋体" w:hAnsi="宋体" w:cs="楷体"/>
          <w:bCs/>
        </w:rPr>
        <w:t>%</w:t>
      </w:r>
      <w:r>
        <w:rPr>
          <w:rFonts w:hint="eastAsia" w:ascii="宋体" w:hAnsi="宋体" w:cs="楷体"/>
          <w:bCs/>
          <w:lang w:eastAsia="zh-CN"/>
        </w:rPr>
        <w:t>，</w:t>
      </w:r>
      <w:r>
        <w:rPr>
          <w:rFonts w:hint="eastAsia" w:ascii="宋体" w:hAnsi="宋体" w:cs="楷体"/>
          <w:bCs/>
          <w:lang w:val="en-US" w:eastAsia="zh-CN"/>
        </w:rPr>
        <w:t>合同正常执行结束收到发票后支付50%尾款。</w:t>
      </w:r>
    </w:p>
    <w:p w14:paraId="6D7C8FB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2</w:t>
      </w:r>
      <w:r>
        <w:rPr>
          <w:rFonts w:hint="eastAsia" w:ascii="宋体" w:hAnsi="宋体" w:cs="楷体"/>
          <w:bCs/>
          <w:lang w:val="en-US" w:eastAsia="zh-CN"/>
        </w:rPr>
        <w:t>.</w:t>
      </w:r>
      <w:r>
        <w:rPr>
          <w:rFonts w:hint="eastAsia" w:ascii="宋体" w:hAnsi="宋体" w:cs="楷体"/>
          <w:bCs/>
        </w:rPr>
        <w:t>每次</w:t>
      </w:r>
      <w:r>
        <w:rPr>
          <w:rFonts w:hint="eastAsia" w:ascii="宋体" w:hAnsi="宋体" w:cs="楷体"/>
          <w:bCs/>
          <w:lang w:eastAsia="zh-TW"/>
        </w:rPr>
        <w:t>按合同支付款项前，中标人</w:t>
      </w:r>
      <w:r>
        <w:rPr>
          <w:rFonts w:hint="eastAsia" w:ascii="宋体" w:hAnsi="宋体" w:cs="楷体"/>
          <w:bCs/>
        </w:rPr>
        <w:t>应</w:t>
      </w:r>
      <w:r>
        <w:rPr>
          <w:rFonts w:hint="eastAsia" w:ascii="宋体" w:hAnsi="宋体" w:cs="楷体"/>
          <w:bCs/>
          <w:lang w:eastAsia="zh-TW"/>
        </w:rPr>
        <w:t>向采购人提供与支付金额相符的有效发票，且收款方、出具发票方、合同乙方均必须与中标人名称一致；</w:t>
      </w:r>
    </w:p>
    <w:p w14:paraId="211CF7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（三）</w:t>
      </w:r>
      <w:r>
        <w:rPr>
          <w:rFonts w:hint="eastAsia" w:ascii="宋体" w:hAnsi="宋体" w:cs="楷体"/>
          <w:b/>
          <w:bCs w:val="0"/>
        </w:rPr>
        <w:t>合同服务期限</w:t>
      </w:r>
      <w:r>
        <w:rPr>
          <w:rFonts w:hint="eastAsia" w:ascii="宋体" w:hAnsi="宋体" w:cs="楷体"/>
          <w:b/>
          <w:bCs w:val="0"/>
          <w:lang w:eastAsia="zh-CN"/>
        </w:rPr>
        <w:t>：</w:t>
      </w:r>
    </w:p>
    <w:p w14:paraId="58E2FEC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1</w:t>
      </w:r>
      <w:r>
        <w:rPr>
          <w:rFonts w:hint="eastAsia" w:ascii="宋体" w:hAnsi="宋体" w:cs="楷体"/>
          <w:bCs/>
          <w:lang w:val="en-US" w:eastAsia="zh-CN"/>
        </w:rPr>
        <w:t>.</w:t>
      </w:r>
      <w:r>
        <w:rPr>
          <w:rFonts w:hint="eastAsia" w:ascii="宋体" w:hAnsi="宋体" w:cs="楷体"/>
          <w:bCs/>
        </w:rPr>
        <w:t>项目服务期限：本项目服务期自合同签订中的约定之日起1年。</w:t>
      </w:r>
    </w:p>
    <w:p w14:paraId="64B81236">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2</w:t>
      </w:r>
      <w:bookmarkStart w:id="6" w:name="_Hlk79593332"/>
      <w:r>
        <w:rPr>
          <w:rFonts w:hint="eastAsia" w:ascii="宋体" w:hAnsi="宋体" w:cs="楷体"/>
          <w:bCs/>
          <w:lang w:val="en-US" w:eastAsia="zh-CN"/>
        </w:rPr>
        <w:t>.</w:t>
      </w:r>
      <w:r>
        <w:rPr>
          <w:rFonts w:hint="eastAsia" w:ascii="宋体" w:hAnsi="宋体" w:cs="楷体"/>
          <w:bCs/>
        </w:rPr>
        <w:t>本项目为长期服务项目，政府采购合同一年一签，履行期限最长不得超过三十六个月。如采购人对履约情况不满意，采购人不再续约</w:t>
      </w:r>
      <w:bookmarkEnd w:id="6"/>
      <w:r>
        <w:rPr>
          <w:rFonts w:hint="eastAsia" w:ascii="宋体" w:hAnsi="宋体" w:cs="楷体"/>
          <w:bCs/>
        </w:rPr>
        <w:t>。</w:t>
      </w:r>
    </w:p>
    <w:p w14:paraId="1CD27C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（四）</w:t>
      </w:r>
      <w:r>
        <w:rPr>
          <w:rFonts w:hint="eastAsia" w:ascii="宋体" w:hAnsi="宋体" w:cs="楷体"/>
          <w:b/>
          <w:bCs w:val="0"/>
        </w:rPr>
        <w:t>保密要求</w:t>
      </w:r>
      <w:r>
        <w:rPr>
          <w:rFonts w:hint="eastAsia" w:ascii="宋体" w:hAnsi="宋体" w:cs="楷体"/>
          <w:b/>
          <w:bCs w:val="0"/>
          <w:lang w:eastAsia="zh-CN"/>
        </w:rPr>
        <w:t>：</w:t>
      </w:r>
    </w:p>
    <w:p w14:paraId="2221D34F">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lang w:val="en-US" w:eastAsia="zh-CN"/>
        </w:rPr>
        <w:t>1.</w:t>
      </w:r>
      <w:r>
        <w:rPr>
          <w:rFonts w:hint="eastAsia" w:ascii="宋体" w:hAnsi="宋体" w:cs="楷体"/>
          <w:bCs/>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065B50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
          <w:bCs w:val="0"/>
          <w:highlight w:val="yellow"/>
          <w:lang w:eastAsia="zh-CN"/>
        </w:rPr>
      </w:pPr>
      <w:r>
        <w:rPr>
          <w:rFonts w:hint="eastAsia" w:ascii="宋体" w:hAnsi="宋体" w:cs="楷体"/>
          <w:b/>
          <w:bCs w:val="0"/>
          <w:highlight w:val="yellow"/>
        </w:rPr>
        <w:t>★</w:t>
      </w:r>
      <w:r>
        <w:rPr>
          <w:rFonts w:hint="eastAsia" w:ascii="宋体" w:hAnsi="宋体" w:cs="楷体"/>
          <w:b/>
          <w:bCs w:val="0"/>
          <w:highlight w:val="yellow"/>
          <w:lang w:val="en-US" w:eastAsia="zh-CN"/>
        </w:rPr>
        <w:t>（五）</w:t>
      </w:r>
      <w:r>
        <w:rPr>
          <w:rFonts w:hint="eastAsia" w:ascii="宋体" w:hAnsi="宋体" w:cs="楷体"/>
          <w:b/>
          <w:bCs w:val="0"/>
          <w:highlight w:val="yellow"/>
        </w:rPr>
        <w:t>违约责任</w:t>
      </w:r>
      <w:r>
        <w:rPr>
          <w:rFonts w:hint="eastAsia" w:ascii="宋体" w:hAnsi="宋体" w:cs="楷体"/>
          <w:b/>
          <w:bCs w:val="0"/>
          <w:highlight w:val="yellow"/>
          <w:lang w:eastAsia="zh-CN"/>
        </w:rPr>
        <w:t>：</w:t>
      </w:r>
    </w:p>
    <w:p w14:paraId="0DF0E32F">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
          <w:bCs w:val="0"/>
          <w:highlight w:val="yellow"/>
        </w:rPr>
      </w:pPr>
      <w:r>
        <w:rPr>
          <w:rFonts w:hint="default" w:ascii="宋体" w:hAnsi="宋体" w:cs="楷体"/>
          <w:b/>
          <w:bCs w:val="0"/>
          <w:highlight w:val="yellow"/>
          <w:lang w:val="en-US" w:eastAsia="zh-CN"/>
        </w:rPr>
        <w:t>1</w:t>
      </w:r>
      <w:r>
        <w:rPr>
          <w:rFonts w:hint="eastAsia" w:ascii="宋体" w:hAnsi="宋体" w:cs="楷体"/>
          <w:b/>
          <w:bCs w:val="0"/>
          <w:highlight w:val="yellow"/>
          <w:lang w:val="en-US" w:eastAsia="zh-CN"/>
        </w:rPr>
        <w:t>.</w:t>
      </w:r>
      <w:r>
        <w:rPr>
          <w:rFonts w:hint="eastAsia" w:ascii="宋体" w:hAnsi="宋体" w:cs="楷体"/>
          <w:b/>
          <w:bCs w:val="0"/>
          <w:highlight w:val="yellow"/>
        </w:rPr>
        <w:t>因中标人原因，未能按规定时间完成有关工作的，每延误一天，采购人可在支付合同余款中扣除合同价款千分之一，延误超过15天，采购人有权解除合同，中标人应当向采购人支付采购合同总价款</w:t>
      </w:r>
      <w:r>
        <w:rPr>
          <w:rFonts w:hint="eastAsia" w:ascii="宋体" w:hAnsi="宋体" w:cs="楷体"/>
          <w:b/>
          <w:bCs w:val="0"/>
          <w:highlight w:val="yellow"/>
          <w:lang w:val="en-US" w:eastAsia="zh-CN"/>
        </w:rPr>
        <w:t>5</w:t>
      </w:r>
      <w:r>
        <w:rPr>
          <w:rFonts w:hint="eastAsia" w:ascii="宋体" w:hAnsi="宋体" w:cs="楷体"/>
          <w:b/>
          <w:bCs w:val="0"/>
          <w:highlight w:val="yellow"/>
        </w:rPr>
        <w:t>%的违约金；</w:t>
      </w:r>
    </w:p>
    <w:p w14:paraId="0D948D75">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
          <w:bCs w:val="0"/>
          <w:highlight w:val="yellow"/>
        </w:rPr>
      </w:pPr>
      <w:r>
        <w:rPr>
          <w:rFonts w:hint="default" w:ascii="宋体" w:hAnsi="宋体" w:cs="楷体"/>
          <w:b/>
          <w:bCs w:val="0"/>
          <w:highlight w:val="yellow"/>
          <w:lang w:val="en-US" w:eastAsia="zh-CN"/>
        </w:rPr>
        <w:t>2</w:t>
      </w:r>
      <w:r>
        <w:rPr>
          <w:rFonts w:hint="eastAsia" w:ascii="宋体" w:hAnsi="宋体" w:cs="楷体"/>
          <w:b/>
          <w:bCs w:val="0"/>
          <w:highlight w:val="yellow"/>
          <w:lang w:val="en-US" w:eastAsia="zh-CN"/>
        </w:rPr>
        <w:t>.</w:t>
      </w:r>
      <w:r>
        <w:rPr>
          <w:rFonts w:hint="eastAsia" w:ascii="宋体" w:hAnsi="宋体" w:cs="楷体"/>
          <w:b/>
          <w:bCs w:val="0"/>
          <w:highlight w:val="yellow"/>
        </w:rPr>
        <w:t>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w:t>
      </w:r>
      <w:r>
        <w:rPr>
          <w:rFonts w:hint="eastAsia" w:ascii="宋体" w:hAnsi="宋体" w:cs="楷体"/>
          <w:b/>
          <w:bCs w:val="0"/>
          <w:highlight w:val="yellow"/>
          <w:lang w:val="en-US" w:eastAsia="zh-CN"/>
        </w:rPr>
        <w:t>5</w:t>
      </w:r>
      <w:r>
        <w:rPr>
          <w:rFonts w:hint="eastAsia" w:ascii="宋体" w:hAnsi="宋体" w:cs="楷体"/>
          <w:b/>
          <w:bCs w:val="0"/>
          <w:highlight w:val="yellow"/>
        </w:rPr>
        <w:t>%的违约金；</w:t>
      </w:r>
    </w:p>
    <w:p w14:paraId="07CF9021">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
          <w:bCs w:val="0"/>
          <w:highlight w:val="yellow"/>
        </w:rPr>
      </w:pPr>
      <w:r>
        <w:rPr>
          <w:rFonts w:hint="eastAsia" w:ascii="宋体" w:hAnsi="宋体" w:cs="楷体"/>
          <w:b/>
          <w:bCs w:val="0"/>
          <w:highlight w:val="yellow"/>
        </w:rPr>
        <w:t>3</w:t>
      </w:r>
      <w:r>
        <w:rPr>
          <w:rFonts w:hint="eastAsia" w:ascii="宋体" w:hAnsi="宋体" w:cs="楷体"/>
          <w:b/>
          <w:bCs w:val="0"/>
          <w:highlight w:val="yellow"/>
          <w:lang w:val="en-US" w:eastAsia="zh-CN"/>
        </w:rPr>
        <w:t>.</w:t>
      </w:r>
      <w:r>
        <w:rPr>
          <w:rFonts w:hint="eastAsia" w:ascii="宋体" w:hAnsi="宋体" w:cs="楷体"/>
          <w:b/>
          <w:bCs w:val="0"/>
          <w:highlight w:val="yellow"/>
        </w:rPr>
        <w:t>如中标人违反保密义务或提供的项目服务或项目成果侵犯第三方知识产权的，采购人有权解除合同，中标人应当返还采购人已支付款项并向采购人支付采购合同总价款</w:t>
      </w:r>
      <w:r>
        <w:rPr>
          <w:rFonts w:hint="eastAsia" w:ascii="宋体" w:hAnsi="宋体" w:cs="楷体"/>
          <w:b/>
          <w:bCs w:val="0"/>
          <w:highlight w:val="yellow"/>
          <w:lang w:val="en-US" w:eastAsia="zh-CN"/>
        </w:rPr>
        <w:t>5</w:t>
      </w:r>
      <w:r>
        <w:rPr>
          <w:rFonts w:hint="eastAsia" w:ascii="宋体" w:hAnsi="宋体" w:cs="楷体"/>
          <w:b/>
          <w:bCs w:val="0"/>
          <w:highlight w:val="yellow"/>
        </w:rPr>
        <w:t>%的违约金；</w:t>
      </w:r>
    </w:p>
    <w:p w14:paraId="58ED227D">
      <w:pPr>
        <w:keepNext w:val="0"/>
        <w:keepLines w:val="0"/>
        <w:pageBreakBefore w:val="0"/>
        <w:widowControl w:val="0"/>
        <w:kinsoku/>
        <w:wordWrap/>
        <w:overflowPunct/>
        <w:topLinePunct w:val="0"/>
        <w:bidi w:val="0"/>
        <w:spacing w:line="360" w:lineRule="auto"/>
        <w:ind w:firstLine="422" w:firstLineChars="200"/>
        <w:rPr>
          <w:rFonts w:ascii="宋体" w:hAnsi="宋体" w:cs="楷体"/>
          <w:bCs/>
        </w:rPr>
      </w:pPr>
      <w:r>
        <w:rPr>
          <w:rFonts w:hint="eastAsia" w:ascii="宋体" w:hAnsi="宋体" w:cs="楷体"/>
          <w:b/>
          <w:bCs w:val="0"/>
          <w:highlight w:val="yellow"/>
        </w:rPr>
        <w:t>4</w:t>
      </w:r>
      <w:r>
        <w:rPr>
          <w:rFonts w:hint="eastAsia" w:ascii="宋体" w:hAnsi="宋体" w:cs="楷体"/>
          <w:b/>
          <w:bCs w:val="0"/>
          <w:highlight w:val="yellow"/>
          <w:lang w:val="en-US" w:eastAsia="zh-CN"/>
        </w:rPr>
        <w:t>.</w:t>
      </w:r>
      <w:r>
        <w:rPr>
          <w:rFonts w:hint="eastAsia" w:ascii="宋体" w:hAnsi="宋体" w:cs="楷体"/>
          <w:b/>
          <w:bCs w:val="0"/>
          <w:highlight w:val="yellow"/>
        </w:rPr>
        <w:t>未经采购人同意，中标人不得将项目转包或分包给其他第三方，如若违反，采购人有权解除合同，中标人应当返还采购人已支付的款项并向采购人支付采购合同总价款</w:t>
      </w:r>
      <w:r>
        <w:rPr>
          <w:rFonts w:hint="eastAsia" w:ascii="宋体" w:hAnsi="宋体" w:cs="楷体"/>
          <w:b/>
          <w:bCs w:val="0"/>
          <w:highlight w:val="yellow"/>
          <w:lang w:val="en-US" w:eastAsia="zh-CN"/>
        </w:rPr>
        <w:t>5</w:t>
      </w:r>
      <w:r>
        <w:rPr>
          <w:rFonts w:hint="eastAsia" w:ascii="宋体" w:hAnsi="宋体" w:cs="楷体"/>
          <w:b/>
          <w:bCs w:val="0"/>
          <w:highlight w:val="yellow"/>
        </w:rPr>
        <w:t>%的违约金。</w:t>
      </w:r>
    </w:p>
    <w:p w14:paraId="736CFB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（六）</w:t>
      </w:r>
      <w:r>
        <w:rPr>
          <w:rFonts w:hint="eastAsia" w:ascii="宋体" w:hAnsi="宋体" w:cs="楷体"/>
          <w:b/>
          <w:bCs w:val="0"/>
        </w:rPr>
        <w:t>合同的变更</w:t>
      </w:r>
      <w:r>
        <w:rPr>
          <w:rFonts w:hint="eastAsia" w:ascii="宋体" w:hAnsi="宋体" w:cs="楷体"/>
          <w:b/>
          <w:bCs w:val="0"/>
          <w:lang w:eastAsia="zh-CN"/>
        </w:rPr>
        <w:t>：</w:t>
      </w:r>
    </w:p>
    <w:p w14:paraId="2D59C805">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在合同履行过程中，采购人、中标人双方可就合同履行的时间、地点和方式等协商进行变更。协商一致后，双方应签订书面的补充协议。</w:t>
      </w:r>
    </w:p>
    <w:p w14:paraId="158B13B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2</w:t>
      </w:r>
      <w:r>
        <w:rPr>
          <w:rFonts w:hint="eastAsia" w:ascii="宋体" w:hAnsi="宋体" w:cs="楷体"/>
          <w:bCs/>
          <w:lang w:val="en-US" w:eastAsia="zh-CN"/>
        </w:rPr>
        <w:t>.</w:t>
      </w:r>
      <w:r>
        <w:rPr>
          <w:rFonts w:hint="eastAsia" w:ascii="宋体" w:hAnsi="宋体" w:cs="楷体"/>
          <w:bCs/>
        </w:rPr>
        <w:t>在不改变合同其他条款的前提下，采购人有权在合同价款改变正负百分之十的范围内追加或减少与合同标的相同的货物或服务，并就此与中标人签订补充合同，中标人不得拒绝。</w:t>
      </w:r>
    </w:p>
    <w:p w14:paraId="637A29E3">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3</w:t>
      </w:r>
      <w:r>
        <w:rPr>
          <w:rFonts w:hint="eastAsia" w:ascii="宋体" w:hAnsi="宋体" w:cs="楷体"/>
          <w:bCs/>
          <w:lang w:val="en-US" w:eastAsia="zh-CN"/>
        </w:rPr>
        <w:t>.</w:t>
      </w:r>
      <w:r>
        <w:rPr>
          <w:rFonts w:hint="eastAsia" w:ascii="宋体" w:hAnsi="宋体" w:cs="楷体"/>
          <w:bCs/>
        </w:rPr>
        <w:t>除了双方签署书面协议，并成为合同不可分割的一部分之外，合同条件不得有任何变更。</w:t>
      </w:r>
    </w:p>
    <w:p w14:paraId="0FE278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（七）</w:t>
      </w:r>
      <w:r>
        <w:rPr>
          <w:rFonts w:hint="eastAsia" w:ascii="宋体" w:hAnsi="宋体" w:cs="楷体"/>
          <w:b/>
          <w:bCs w:val="0"/>
        </w:rPr>
        <w:t>合同转让和分包</w:t>
      </w:r>
      <w:r>
        <w:rPr>
          <w:rFonts w:hint="eastAsia" w:ascii="宋体" w:hAnsi="宋体" w:cs="楷体"/>
          <w:b/>
          <w:bCs w:val="0"/>
          <w:lang w:eastAsia="zh-CN"/>
        </w:rPr>
        <w:t>：</w:t>
      </w:r>
    </w:p>
    <w:p w14:paraId="5C7EE1BB">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中标人不得以任何形式部分或全部转让其应履行的合同义务。</w:t>
      </w:r>
    </w:p>
    <w:p w14:paraId="5D83DA21">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2</w:t>
      </w:r>
      <w:r>
        <w:rPr>
          <w:rFonts w:hint="eastAsia" w:ascii="宋体" w:hAnsi="宋体" w:cs="楷体"/>
          <w:bCs/>
          <w:lang w:val="en-US" w:eastAsia="zh-CN"/>
        </w:rPr>
        <w:t>.</w:t>
      </w:r>
      <w:r>
        <w:rPr>
          <w:rFonts w:hint="eastAsia" w:ascii="宋体" w:hAnsi="宋体" w:cs="楷体"/>
          <w:bCs/>
        </w:rPr>
        <w:t>除非在投标文件中提出的分包项目和建议的分包人，中标人不得采用分包方式履行合同。</w:t>
      </w:r>
    </w:p>
    <w:p w14:paraId="1B870BF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3</w:t>
      </w:r>
      <w:r>
        <w:rPr>
          <w:rFonts w:hint="eastAsia" w:ascii="宋体" w:hAnsi="宋体" w:cs="楷体"/>
          <w:bCs/>
          <w:lang w:val="en-US" w:eastAsia="zh-CN"/>
        </w:rPr>
        <w:t>.</w:t>
      </w:r>
      <w:r>
        <w:rPr>
          <w:rFonts w:hint="eastAsia" w:ascii="宋体" w:hAnsi="宋体" w:cs="楷体"/>
          <w:bCs/>
        </w:rPr>
        <w:t>在合同实施过程中，除非中标人违约，采购人不得指定分包人。</w:t>
      </w:r>
    </w:p>
    <w:p w14:paraId="7537BF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（八）</w:t>
      </w:r>
      <w:r>
        <w:rPr>
          <w:rFonts w:hint="eastAsia" w:ascii="宋体" w:hAnsi="宋体" w:cs="楷体"/>
          <w:b/>
          <w:bCs w:val="0"/>
        </w:rPr>
        <w:t>解决争议的方法</w:t>
      </w:r>
      <w:r>
        <w:rPr>
          <w:rFonts w:hint="eastAsia" w:ascii="宋体" w:hAnsi="宋体" w:cs="楷体"/>
          <w:b/>
          <w:bCs w:val="0"/>
          <w:lang w:eastAsia="zh-CN"/>
        </w:rPr>
        <w:t>：</w:t>
      </w:r>
    </w:p>
    <w:p w14:paraId="10D74706">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合同各方应通过友好协商，解决在执行合同过程中所发生的或与合同有关的一切争端。</w:t>
      </w:r>
    </w:p>
    <w:p w14:paraId="630316EE">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2</w:t>
      </w:r>
      <w:r>
        <w:rPr>
          <w:rFonts w:hint="eastAsia" w:ascii="宋体" w:hAnsi="宋体" w:cs="楷体"/>
          <w:bCs/>
          <w:lang w:val="en-US" w:eastAsia="zh-CN"/>
        </w:rPr>
        <w:t>.</w:t>
      </w:r>
      <w:r>
        <w:rPr>
          <w:rFonts w:hint="eastAsia" w:ascii="宋体" w:hAnsi="宋体" w:cs="楷体"/>
          <w:bCs/>
        </w:rPr>
        <w:t>如从协商开始28天内仍不能解决，任一方可向采购人所在地的人民法院提起诉讼。</w:t>
      </w:r>
    </w:p>
    <w:p w14:paraId="4DAA9AE0">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3</w:t>
      </w:r>
      <w:r>
        <w:rPr>
          <w:rFonts w:hint="eastAsia" w:ascii="宋体" w:hAnsi="宋体" w:cs="楷体"/>
          <w:bCs/>
          <w:lang w:val="en-US" w:eastAsia="zh-CN"/>
        </w:rPr>
        <w:t>.</w:t>
      </w:r>
      <w:r>
        <w:rPr>
          <w:rFonts w:hint="eastAsia" w:ascii="宋体" w:hAnsi="宋体" w:cs="楷体"/>
          <w:bCs/>
        </w:rPr>
        <w:t>在诉讼期间，除正在进行诉讼的部分外，合同的其他部分应继续执行。</w:t>
      </w:r>
    </w:p>
    <w:p w14:paraId="198CD6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（九）</w:t>
      </w:r>
      <w:r>
        <w:rPr>
          <w:rFonts w:hint="eastAsia" w:ascii="宋体" w:hAnsi="宋体" w:cs="楷体"/>
          <w:b/>
          <w:bCs w:val="0"/>
        </w:rPr>
        <w:t>合同语言</w:t>
      </w:r>
      <w:r>
        <w:rPr>
          <w:rFonts w:hint="eastAsia" w:ascii="宋体" w:hAnsi="宋体" w:cs="楷体"/>
          <w:b/>
          <w:bCs w:val="0"/>
          <w:lang w:eastAsia="zh-CN"/>
        </w:rPr>
        <w:t>：</w:t>
      </w:r>
    </w:p>
    <w:p w14:paraId="2D53A444">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合同以及双方来住的与合同有关的信件、传真和其它文件应用中文书写。</w:t>
      </w:r>
    </w:p>
    <w:p w14:paraId="20740F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（十）</w:t>
      </w:r>
      <w:r>
        <w:rPr>
          <w:rFonts w:hint="eastAsia" w:ascii="宋体" w:hAnsi="宋体" w:cs="楷体"/>
          <w:b/>
          <w:bCs w:val="0"/>
        </w:rPr>
        <w:t>法律适用</w:t>
      </w:r>
      <w:r>
        <w:rPr>
          <w:rFonts w:hint="eastAsia" w:ascii="宋体" w:hAnsi="宋体" w:cs="楷体"/>
          <w:b/>
          <w:bCs w:val="0"/>
          <w:lang w:eastAsia="zh-CN"/>
        </w:rPr>
        <w:t>：</w:t>
      </w:r>
    </w:p>
    <w:p w14:paraId="0C7634D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合同适用中华人民共和国现行法律、行政法规和规章，如合同条款与法律、行政法规和规章不一致的，按照法律、行政法规和规章修改合同。</w:t>
      </w:r>
    </w:p>
    <w:p w14:paraId="32119C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（十一）</w:t>
      </w:r>
      <w:r>
        <w:rPr>
          <w:rFonts w:hint="eastAsia" w:ascii="宋体" w:hAnsi="宋体" w:cs="楷体"/>
          <w:b/>
          <w:bCs w:val="0"/>
        </w:rPr>
        <w:t>通知</w:t>
      </w:r>
      <w:r>
        <w:rPr>
          <w:rFonts w:hint="eastAsia" w:ascii="宋体" w:hAnsi="宋体" w:cs="楷体"/>
          <w:b/>
          <w:bCs w:val="0"/>
          <w:lang w:eastAsia="zh-CN"/>
        </w:rPr>
        <w:t>：</w:t>
      </w:r>
    </w:p>
    <w:p w14:paraId="4D952095">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1</w:t>
      </w:r>
      <w:r>
        <w:rPr>
          <w:rFonts w:hint="eastAsia" w:ascii="宋体" w:hAnsi="宋体" w:cs="楷体"/>
          <w:bCs/>
          <w:lang w:val="en-US" w:eastAsia="zh-CN"/>
        </w:rPr>
        <w:t>.</w:t>
      </w:r>
      <w:r>
        <w:rPr>
          <w:rFonts w:hint="eastAsia" w:ascii="宋体" w:hAnsi="宋体" w:cs="楷体"/>
          <w:bCs/>
        </w:rPr>
        <w:t>合同一方给另一方的通知均应采用书面形式，传真或快递送到对方的地址和办理签收手续。</w:t>
      </w:r>
    </w:p>
    <w:p w14:paraId="2315A3D6">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default" w:ascii="宋体" w:hAnsi="宋体" w:cs="楷体"/>
          <w:bCs/>
          <w:lang w:val="en-US" w:eastAsia="zh-CN"/>
        </w:rPr>
        <w:t>2</w:t>
      </w:r>
      <w:r>
        <w:rPr>
          <w:rFonts w:hint="eastAsia" w:ascii="宋体" w:hAnsi="宋体" w:cs="楷体"/>
          <w:bCs/>
          <w:lang w:val="en-US" w:eastAsia="zh-CN"/>
        </w:rPr>
        <w:t>.</w:t>
      </w:r>
      <w:r>
        <w:rPr>
          <w:rFonts w:hint="eastAsia" w:ascii="宋体" w:hAnsi="宋体" w:cs="楷体"/>
          <w:bCs/>
        </w:rPr>
        <w:t>通知以送到之日或通知书中规定的生效之日起生效，两者中以较迟之日为准。</w:t>
      </w:r>
    </w:p>
    <w:p w14:paraId="504C27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
          <w:bCs w:val="0"/>
          <w:highlight w:val="yellow"/>
          <w:lang w:eastAsia="zh-CN"/>
        </w:rPr>
      </w:pPr>
      <w:r>
        <w:rPr>
          <w:rFonts w:hint="eastAsia" w:ascii="宋体" w:hAnsi="宋体" w:cs="楷体"/>
          <w:b/>
          <w:bCs w:val="0"/>
          <w:highlight w:val="yellow"/>
        </w:rPr>
        <w:t>★</w:t>
      </w:r>
      <w:r>
        <w:rPr>
          <w:rFonts w:hint="eastAsia" w:ascii="宋体" w:hAnsi="宋体" w:cs="楷体"/>
          <w:b/>
          <w:bCs w:val="0"/>
          <w:highlight w:val="yellow"/>
          <w:lang w:val="en-US" w:eastAsia="zh-CN"/>
        </w:rPr>
        <w:t>（十二）</w:t>
      </w:r>
      <w:r>
        <w:rPr>
          <w:rFonts w:hint="eastAsia" w:ascii="宋体" w:hAnsi="宋体" w:cs="楷体"/>
          <w:b/>
          <w:bCs w:val="0"/>
          <w:highlight w:val="yellow"/>
        </w:rPr>
        <w:t>知识产权合规承诺</w:t>
      </w:r>
      <w:r>
        <w:rPr>
          <w:rFonts w:hint="eastAsia" w:ascii="宋体" w:hAnsi="宋体" w:cs="楷体"/>
          <w:b/>
          <w:bCs w:val="0"/>
          <w:highlight w:val="yellow"/>
          <w:lang w:eastAsia="zh-CN"/>
        </w:rPr>
        <w:t>：</w:t>
      </w:r>
    </w:p>
    <w:p w14:paraId="156DAC15">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
          <w:bCs w:val="0"/>
          <w:highlight w:val="yellow"/>
        </w:rPr>
      </w:pPr>
      <w:r>
        <w:rPr>
          <w:rFonts w:hint="default" w:ascii="宋体" w:hAnsi="宋体" w:cs="楷体"/>
          <w:b/>
          <w:bCs w:val="0"/>
          <w:highlight w:val="yellow"/>
          <w:lang w:val="en-US" w:eastAsia="zh-CN"/>
        </w:rPr>
        <w:t>1</w:t>
      </w:r>
      <w:r>
        <w:rPr>
          <w:rFonts w:hint="eastAsia" w:ascii="宋体" w:hAnsi="宋体" w:cs="楷体"/>
          <w:b/>
          <w:bCs w:val="0"/>
          <w:highlight w:val="yellow"/>
          <w:lang w:val="en-US" w:eastAsia="zh-CN"/>
        </w:rPr>
        <w:t>.</w:t>
      </w:r>
      <w:r>
        <w:rPr>
          <w:rFonts w:hint="eastAsia" w:ascii="宋体" w:hAnsi="宋体" w:cs="楷体"/>
          <w:b/>
          <w:bCs w:val="0"/>
          <w:highlight w:val="yellow"/>
        </w:rPr>
        <w:t>中标人在履行合同的过程中不得侵犯他人知识产权，不得提供虚假知识产权申请材料或者违背知识产权合规性承诺，否则依法追究其违约等责任，并将其失信违法信息依法纳入公共信用信息系统。</w:t>
      </w:r>
    </w:p>
    <w:p w14:paraId="61F5B1B8">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
          <w:bCs w:val="0"/>
          <w:highlight w:val="yellow"/>
        </w:rPr>
      </w:pPr>
      <w:r>
        <w:rPr>
          <w:rFonts w:hint="default" w:ascii="宋体" w:hAnsi="宋体" w:cs="楷体"/>
          <w:b/>
          <w:bCs w:val="0"/>
          <w:highlight w:val="yellow"/>
          <w:lang w:val="en-US" w:eastAsia="zh-CN"/>
        </w:rPr>
        <w:t>2</w:t>
      </w:r>
      <w:r>
        <w:rPr>
          <w:rFonts w:hint="eastAsia" w:ascii="宋体" w:hAnsi="宋体" w:cs="楷体"/>
          <w:b/>
          <w:bCs w:val="0"/>
          <w:highlight w:val="yellow"/>
          <w:lang w:val="en-US" w:eastAsia="zh-CN"/>
        </w:rPr>
        <w:t>.</w:t>
      </w:r>
      <w:r>
        <w:rPr>
          <w:rFonts w:hint="eastAsia" w:ascii="宋体" w:hAnsi="宋体" w:cs="楷体"/>
          <w:b/>
          <w:bCs w:val="0"/>
          <w:highlight w:val="yellow"/>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B9F3BBD">
      <w:pPr>
        <w:keepNext w:val="0"/>
        <w:keepLines w:val="0"/>
        <w:pageBreakBefore w:val="0"/>
        <w:widowControl w:val="0"/>
        <w:kinsoku/>
        <w:wordWrap/>
        <w:overflowPunct/>
        <w:topLinePunct w:val="0"/>
        <w:bidi w:val="0"/>
        <w:spacing w:line="360" w:lineRule="auto"/>
        <w:ind w:firstLine="422" w:firstLineChars="200"/>
        <w:rPr>
          <w:rFonts w:hint="eastAsia" w:ascii="宋体" w:hAnsi="宋体" w:cs="楷体"/>
          <w:bCs/>
        </w:rPr>
      </w:pPr>
      <w:r>
        <w:rPr>
          <w:rFonts w:hint="default" w:ascii="宋体" w:hAnsi="宋体" w:cs="楷体"/>
          <w:b/>
          <w:bCs w:val="0"/>
          <w:highlight w:val="yellow"/>
          <w:lang w:val="en-US" w:eastAsia="zh-CN"/>
        </w:rPr>
        <w:t>3</w:t>
      </w:r>
      <w:r>
        <w:rPr>
          <w:rFonts w:hint="eastAsia" w:ascii="宋体" w:hAnsi="宋体" w:cs="楷体"/>
          <w:b/>
          <w:bCs w:val="0"/>
          <w:highlight w:val="yellow"/>
          <w:lang w:val="en-US" w:eastAsia="zh-CN"/>
        </w:rPr>
        <w:t>.</w:t>
      </w:r>
      <w:r>
        <w:rPr>
          <w:rFonts w:hint="eastAsia" w:ascii="宋体" w:hAnsi="宋体" w:cs="楷体"/>
          <w:b/>
          <w:bCs w:val="0"/>
          <w:highlight w:val="yellow"/>
        </w:rPr>
        <w:t>中标人实施本项目所形成成果的知识产权归采购人所有，未经采购人许可，中标人不得随意使用。</w:t>
      </w:r>
    </w:p>
    <w:p w14:paraId="45E0F2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（十三）</w:t>
      </w:r>
      <w:r>
        <w:rPr>
          <w:rFonts w:hint="eastAsia" w:ascii="宋体" w:hAnsi="宋体" w:cs="楷体"/>
          <w:b/>
          <w:bCs w:val="0"/>
        </w:rPr>
        <w:t>合同解除和终止</w:t>
      </w:r>
      <w:r>
        <w:rPr>
          <w:rFonts w:hint="eastAsia" w:ascii="宋体" w:hAnsi="宋体" w:cs="楷体"/>
          <w:b/>
          <w:bCs w:val="0"/>
          <w:lang w:eastAsia="zh-CN"/>
        </w:rPr>
        <w:t>：</w:t>
      </w:r>
    </w:p>
    <w:p w14:paraId="127CF267">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lang w:val="en-US" w:eastAsia="zh-CN"/>
        </w:rPr>
        <w:t>1.</w:t>
      </w:r>
      <w:r>
        <w:rPr>
          <w:rFonts w:hint="eastAsia" w:ascii="宋体" w:hAnsi="宋体" w:cs="楷体"/>
          <w:bCs/>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7611A6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val="en-US" w:eastAsia="zh-CN"/>
        </w:rPr>
        <w:t>（十四）</w:t>
      </w:r>
      <w:r>
        <w:rPr>
          <w:rFonts w:hint="eastAsia" w:ascii="宋体" w:hAnsi="宋体" w:cs="楷体"/>
          <w:b/>
          <w:bCs w:val="0"/>
        </w:rPr>
        <w:t>税费</w:t>
      </w:r>
      <w:r>
        <w:rPr>
          <w:rFonts w:hint="eastAsia" w:ascii="宋体" w:hAnsi="宋体" w:cs="楷体"/>
          <w:b/>
          <w:bCs w:val="0"/>
          <w:lang w:eastAsia="zh-CN"/>
        </w:rPr>
        <w:t>：</w:t>
      </w:r>
    </w:p>
    <w:p w14:paraId="479FD499">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lang w:val="en-US" w:eastAsia="zh-CN"/>
        </w:rPr>
        <w:t>1.</w:t>
      </w:r>
      <w:r>
        <w:rPr>
          <w:rFonts w:hint="eastAsia" w:ascii="宋体" w:hAnsi="宋体" w:cs="楷体"/>
          <w:bCs/>
        </w:rPr>
        <w:t>中国政府根据现行税法向中标人征收的与合同有关的一切税费均由中标人负责。</w:t>
      </w:r>
    </w:p>
    <w:p w14:paraId="485255DD">
      <w:pPr>
        <w:rPr>
          <w:rFonts w:hint="eastAsia"/>
        </w:rPr>
      </w:pPr>
      <w:bookmarkStart w:id="7" w:name="_Toc135293161"/>
      <w:r>
        <w:rPr>
          <w:rFonts w:hint="eastAsia"/>
        </w:rPr>
        <w:br w:type="page"/>
      </w:r>
    </w:p>
    <w:p w14:paraId="1E030808">
      <w:pPr>
        <w:pStyle w:val="10"/>
        <w:rPr>
          <w:rFonts w:hint="eastAsia"/>
        </w:rPr>
      </w:pPr>
    </w:p>
    <w:p w14:paraId="260C741C">
      <w:pPr>
        <w:pStyle w:val="5"/>
      </w:pPr>
      <w:r>
        <w:rPr>
          <w:rFonts w:hint="eastAsia"/>
        </w:rPr>
        <w:t>第三章  投标文件初审</w:t>
      </w:r>
      <w:bookmarkEnd w:id="7"/>
    </w:p>
    <w:p w14:paraId="466570A9">
      <w:pPr>
        <w:adjustRightInd w:val="0"/>
        <w:spacing w:line="360" w:lineRule="auto"/>
        <w:ind w:firstLine="422" w:firstLineChars="201"/>
        <w:rPr>
          <w:snapToGrid w:val="0"/>
          <w:kern w:val="0"/>
        </w:rPr>
      </w:pPr>
      <w:bookmarkStart w:id="8" w:name="_Toc135293162"/>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1F5780C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1B1F06C7">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4F68387A">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2DF9369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608F7EB2">
      <w:pPr>
        <w:adjustRightInd w:val="0"/>
        <w:spacing w:line="360" w:lineRule="auto"/>
        <w:ind w:firstLine="422" w:firstLineChars="201"/>
        <w:rPr>
          <w:rFonts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2BADFBCF">
      <w:pPr>
        <w:adjustRightInd w:val="0"/>
        <w:spacing w:line="360" w:lineRule="auto"/>
        <w:ind w:firstLine="422" w:firstLineChars="201"/>
        <w:rPr>
          <w:rFonts w:ascii="宋体" w:hAnsi="宋体"/>
          <w:snapToGrid w:val="0"/>
          <w:kern w:val="0"/>
        </w:rPr>
      </w:pPr>
    </w:p>
    <w:p w14:paraId="47B75855">
      <w:pPr>
        <w:pStyle w:val="7"/>
        <w:keepNext w:val="0"/>
        <w:keepLines w:val="0"/>
        <w:pageBreakBefore w:val="0"/>
        <w:widowControl w:val="0"/>
        <w:kinsoku/>
        <w:wordWrap/>
        <w:overflowPunct/>
        <w:topLinePunct w:val="0"/>
        <w:bidi w:val="0"/>
      </w:pPr>
    </w:p>
    <w:p w14:paraId="1A9745C8">
      <w:pPr>
        <w:pStyle w:val="5"/>
        <w:keepNext w:val="0"/>
        <w:keepLines w:val="0"/>
        <w:pageBreakBefore w:val="0"/>
        <w:widowControl w:val="0"/>
        <w:kinsoku/>
        <w:wordWrap/>
        <w:overflowPunct/>
        <w:topLinePunct w:val="0"/>
        <w:bidi w:val="0"/>
        <w:spacing w:after="0"/>
      </w:pPr>
      <w:r>
        <w:rPr>
          <w:rFonts w:hint="eastAsia"/>
        </w:rPr>
        <w:t>第四章  评标方法和标准</w:t>
      </w:r>
      <w:bookmarkEnd w:id="8"/>
    </w:p>
    <w:p w14:paraId="4A994828">
      <w:pPr>
        <w:keepNext w:val="0"/>
        <w:keepLines w:val="0"/>
        <w:pageBreakBefore w:val="0"/>
        <w:widowControl w:val="0"/>
        <w:kinsoku/>
        <w:wordWrap/>
        <w:overflowPunct/>
        <w:topLinePunct w:val="0"/>
        <w:bidi w:val="0"/>
      </w:pPr>
    </w:p>
    <w:p w14:paraId="2F2DF2E1">
      <w:pPr>
        <w:pStyle w:val="7"/>
        <w:keepNext w:val="0"/>
        <w:keepLines w:val="0"/>
        <w:pageBreakBefore w:val="0"/>
        <w:widowControl w:val="0"/>
        <w:kinsoku/>
        <w:wordWrap/>
        <w:overflowPunct/>
        <w:topLinePunct w:val="0"/>
        <w:bidi w:val="0"/>
        <w:spacing w:before="0" w:after="0"/>
      </w:pPr>
      <w:bookmarkStart w:id="9" w:name="_Toc44690429"/>
      <w:bookmarkStart w:id="10" w:name="_Toc135293163"/>
      <w:bookmarkStart w:id="11" w:name="_Toc44691393"/>
      <w:bookmarkStart w:id="12" w:name="_Toc44691161"/>
      <w:bookmarkStart w:id="13" w:name="_Toc44690702"/>
      <w:r>
        <w:rPr>
          <w:rFonts w:hint="eastAsia"/>
        </w:rPr>
        <w:t>一、</w:t>
      </w:r>
      <w:r>
        <w:t>评标方法</w:t>
      </w:r>
      <w:bookmarkEnd w:id="9"/>
      <w:bookmarkEnd w:id="10"/>
      <w:bookmarkEnd w:id="11"/>
      <w:bookmarkEnd w:id="12"/>
      <w:bookmarkEnd w:id="13"/>
    </w:p>
    <w:p w14:paraId="21D0B10A">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8"/>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55867E64">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5473236F">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8"/>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8"/>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F6BBEA2">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0FEC22B0">
      <w:pPr>
        <w:pStyle w:val="48"/>
        <w:keepNext w:val="0"/>
        <w:keepLines w:val="0"/>
        <w:pageBreakBefore w:val="0"/>
        <w:widowControl w:val="0"/>
        <w:kinsoku/>
        <w:wordWrap/>
        <w:overflowPunct/>
        <w:topLinePunct w:val="0"/>
        <w:bidi w:val="0"/>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w:t>
      </w:r>
      <w:r>
        <w:rPr>
          <w:rFonts w:hint="eastAsia" w:cs="仿宋" w:asciiTheme="minorEastAsia" w:hAnsiTheme="minorEastAsia" w:eastAsiaTheme="minorEastAsia"/>
          <w:b/>
          <w:kern w:val="2"/>
          <w:sz w:val="21"/>
          <w:szCs w:val="21"/>
          <w:lang w:val="en-US" w:eastAsia="zh-CN"/>
        </w:rPr>
        <w:t>前三</w:t>
      </w:r>
      <w:r>
        <w:rPr>
          <w:rFonts w:hint="eastAsia" w:cs="仿宋" w:asciiTheme="minorEastAsia" w:hAnsiTheme="minorEastAsia" w:eastAsiaTheme="minorEastAsia"/>
          <w:b/>
          <w:kern w:val="2"/>
          <w:sz w:val="21"/>
          <w:szCs w:val="21"/>
        </w:rPr>
        <w:t>的投标人</w:t>
      </w:r>
      <w:r>
        <w:rPr>
          <w:rFonts w:hint="eastAsia" w:cs="仿宋" w:asciiTheme="minorEastAsia" w:hAnsiTheme="minorEastAsia" w:eastAsiaTheme="minorEastAsia"/>
          <w:kern w:val="2"/>
          <w:sz w:val="21"/>
          <w:szCs w:val="21"/>
        </w:rPr>
        <w:t>作为候选中标供应商。</w:t>
      </w:r>
    </w:p>
    <w:p w14:paraId="36CE6331">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23B42B56">
      <w:pPr>
        <w:pStyle w:val="48"/>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6AF6B59">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5B8755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36D41D7">
      <w:pPr>
        <w:pStyle w:val="7"/>
        <w:keepNext w:val="0"/>
        <w:keepLines w:val="0"/>
        <w:pageBreakBefore w:val="0"/>
        <w:widowControl w:val="0"/>
        <w:kinsoku/>
        <w:wordWrap/>
        <w:overflowPunct/>
        <w:topLinePunct w:val="0"/>
        <w:bidi w:val="0"/>
        <w:spacing w:before="0" w:after="0"/>
      </w:pPr>
      <w:bookmarkStart w:id="14" w:name="_Toc135293164"/>
      <w:r>
        <w:rPr>
          <w:rFonts w:hint="eastAsia"/>
        </w:rPr>
        <w:t>二、评标标准</w:t>
      </w:r>
      <w:bookmarkEnd w:id="14"/>
    </w:p>
    <w:p w14:paraId="15046C29">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eastAsia="宋体" w:cs="宋体"/>
                <w:sz w:val="21"/>
                <w:szCs w:val="21"/>
                <w:lang w:eastAsia="zh-CN"/>
              </w:rPr>
              <w:t>征集文件</w:t>
            </w:r>
            <w:r>
              <w:rPr>
                <w:rFonts w:hint="eastAsia" w:ascii="宋体" w:hAnsi="宋体" w:eastAsia="宋体" w:cs="宋体"/>
                <w:sz w:val="21"/>
                <w:szCs w:val="21"/>
              </w:rPr>
              <w:t>要求且投标价格最低的投标报价为评标基准价，其价格分为满分。其他投标人的价格分统一按照下列公式计算：</w:t>
            </w:r>
          </w:p>
          <w:p w14:paraId="6336857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70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90D20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953" w:type="dxa"/>
            <w:vAlign w:val="center"/>
          </w:tcPr>
          <w:p w14:paraId="36D46260">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5B7687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考察投标人提供的项目实施方案，包含以下内容：</w:t>
            </w:r>
          </w:p>
          <w:p w14:paraId="19C685C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（1）工作措施；</w:t>
            </w:r>
          </w:p>
          <w:p w14:paraId="3D5989B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（2）工作方法；</w:t>
            </w:r>
          </w:p>
          <w:p w14:paraId="409DB5A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（3）工作手段；</w:t>
            </w:r>
          </w:p>
          <w:p w14:paraId="74F737E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（4）工作流程。</w:t>
            </w:r>
          </w:p>
          <w:p w14:paraId="7DA0BE8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E83DB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9F02249">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12</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9</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分；其他情况不得分。在此基础上，根据方案响应情况进一步评审：</w:t>
            </w:r>
          </w:p>
          <w:p w14:paraId="59EBFD27">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（1）工作措施、工作方法全面、具体，工作手段、工作流程科学合理的，加3分；</w:t>
            </w:r>
          </w:p>
          <w:p w14:paraId="4775D019">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（2）工作措施、工作方法比较全面，工作手段、工作流程较合理的，加2分；</w:t>
            </w:r>
          </w:p>
          <w:p w14:paraId="3746CE25">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（3）工作措施、工作方法不够全面，工作手段、工作流程不够合理的，加1分；</w:t>
            </w:r>
          </w:p>
          <w:p w14:paraId="25050341">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（4）工作措施、工作方法不全面，工作手段、工作流程不合理的，不加分。</w:t>
            </w:r>
          </w:p>
        </w:tc>
        <w:tc>
          <w:tcPr>
            <w:tcW w:w="1187" w:type="dxa"/>
            <w:vAlign w:val="center"/>
          </w:tcPr>
          <w:p w14:paraId="50F1958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项目重点难点分析、应对措施及相关的合理化建议</w:t>
            </w:r>
          </w:p>
        </w:tc>
        <w:tc>
          <w:tcPr>
            <w:tcW w:w="709" w:type="dxa"/>
            <w:vAlign w:val="center"/>
          </w:tcPr>
          <w:p w14:paraId="74E131C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3D8AFFE9">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A95B45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619A167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（1）识别维修保养服务中的重点难点；</w:t>
            </w:r>
          </w:p>
          <w:p w14:paraId="2C6183A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（2）对重点难点加以阐述和分析，分析有相关数据支撑；</w:t>
            </w:r>
          </w:p>
          <w:p w14:paraId="1ACE70D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（3）结合重点难点内容提出初步对策和合理化建议。</w:t>
            </w:r>
          </w:p>
          <w:p w14:paraId="1ED7576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A886C8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C298CEE">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7</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分；其他情况不得分。在此基础上，根据方案响应情况进一步评审：</w:t>
            </w:r>
          </w:p>
          <w:p w14:paraId="079C734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（1）重点难点分析全面，应对措施可行性高，相关建议科学合理的，加3分；</w:t>
            </w:r>
          </w:p>
          <w:p w14:paraId="711D6A6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（2）重点难点分析比较全面，应对措施可行性较高，相关建议比较合理的，加2分；</w:t>
            </w:r>
          </w:p>
          <w:p w14:paraId="67D6D6E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（3）重点难点分析不够全面，应对措施可行性一般，相关建议不够合理的，加1分；</w:t>
            </w:r>
          </w:p>
          <w:p w14:paraId="04F2C7A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（4）重点难点分析不全面，应对措施可行性低，相关建议不合理的，不加分。</w:t>
            </w:r>
          </w:p>
        </w:tc>
        <w:tc>
          <w:tcPr>
            <w:tcW w:w="1187" w:type="dxa"/>
            <w:vAlign w:val="center"/>
          </w:tcPr>
          <w:p w14:paraId="05A8D7C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8" w:hRule="atLeast"/>
          <w:jc w:val="center"/>
        </w:trPr>
        <w:tc>
          <w:tcPr>
            <w:tcW w:w="754" w:type="dxa"/>
            <w:vAlign w:val="center"/>
          </w:tcPr>
          <w:p w14:paraId="506E38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采购需求响应情况</w:t>
            </w:r>
          </w:p>
        </w:tc>
        <w:tc>
          <w:tcPr>
            <w:tcW w:w="709" w:type="dxa"/>
            <w:vAlign w:val="center"/>
          </w:tcPr>
          <w:p w14:paraId="364828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c>
          <w:tcPr>
            <w:tcW w:w="5953" w:type="dxa"/>
            <w:vAlign w:val="center"/>
          </w:tcPr>
          <w:p w14:paraId="4EEAE5CF">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547230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投标人应如实填写《服务要求偏离表》及</w:t>
            </w:r>
            <w:r>
              <w:rPr>
                <w:rFonts w:hint="eastAsia" w:ascii="宋体" w:hAnsi="宋体" w:eastAsia="宋体" w:cs="宋体"/>
                <w:b w:val="0"/>
                <w:bCs w:val="0"/>
                <w:kern w:val="0"/>
                <w:sz w:val="21"/>
                <w:szCs w:val="21"/>
                <w:lang w:val="en-US" w:eastAsia="zh-CN"/>
              </w:rPr>
              <w:t>《</w:t>
            </w:r>
            <w:r>
              <w:rPr>
                <w:rFonts w:hint="eastAsia" w:ascii="宋体" w:hAnsi="宋体" w:eastAsia="宋体" w:cs="宋体"/>
                <w:b w:val="0"/>
                <w:bCs w:val="0"/>
                <w:sz w:val="21"/>
                <w:szCs w:val="21"/>
              </w:rPr>
              <w:t>商务条款偏离表</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 w:val="21"/>
                <w:szCs w:val="21"/>
                <w:lang w:val="en-US" w:eastAsia="zh-CN"/>
              </w:rPr>
              <w:t>，各项需求（指招标文件中“第二章  项目需求”的“二、项目服务要求”和“三、项目商务要求”里的非★号条款需求）全部满足的得45分；“▲”需求为重要需求，每负偏离一项扣5分；其余需求每负偏离一项扣0.75分；最低0分。</w:t>
            </w:r>
          </w:p>
          <w:p w14:paraId="63D30D3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BD200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4DCC4FE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以投标文件《服务要求偏离表》</w:t>
            </w:r>
            <w:r>
              <w:rPr>
                <w:rFonts w:hint="eastAsia" w:ascii="宋体" w:hAnsi="宋体" w:eastAsia="宋体" w:cs="宋体"/>
                <w:kern w:val="0"/>
                <w:sz w:val="21"/>
                <w:szCs w:val="21"/>
                <w:lang w:val="en-US" w:eastAsia="zh-CN"/>
              </w:rPr>
              <w:t>及</w:t>
            </w:r>
            <w:r>
              <w:rPr>
                <w:rFonts w:hint="eastAsia" w:ascii="宋体" w:hAnsi="宋体" w:eastAsia="宋体" w:cs="宋体"/>
                <w:b w:val="0"/>
                <w:bCs w:val="0"/>
                <w:kern w:val="0"/>
                <w:sz w:val="21"/>
                <w:szCs w:val="21"/>
                <w:lang w:val="en-US" w:eastAsia="zh-CN"/>
              </w:rPr>
              <w:t>《</w:t>
            </w:r>
            <w:r>
              <w:rPr>
                <w:rFonts w:hint="eastAsia" w:ascii="宋体" w:hAnsi="宋体" w:eastAsia="宋体" w:cs="宋体"/>
                <w:b w:val="0"/>
                <w:bCs w:val="0"/>
                <w:sz w:val="21"/>
                <w:szCs w:val="21"/>
              </w:rPr>
              <w:t>商务条款偏离表</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 w:val="21"/>
                <w:szCs w:val="21"/>
                <w:lang w:val="en-US" w:eastAsia="zh-CN"/>
              </w:rPr>
              <w:t>作为</w:t>
            </w:r>
            <w:r>
              <w:rPr>
                <w:rFonts w:hint="eastAsia" w:ascii="宋体" w:hAnsi="宋体" w:eastAsia="宋体" w:cs="宋体"/>
                <w:kern w:val="0"/>
                <w:sz w:val="21"/>
                <w:szCs w:val="21"/>
              </w:rPr>
              <w:t>评分依据，投标人</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按招标文件要求提供相应的证明材料</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如招标文件未要求提供证明材料则不需要提供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的，该项</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按负偏离处理。</w:t>
            </w:r>
          </w:p>
          <w:p w14:paraId="0A0CDE33">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w:t>
            </w:r>
            <w:r>
              <w:rPr>
                <w:rFonts w:hint="eastAsia" w:ascii="宋体" w:hAnsi="宋体" w:eastAsia="宋体" w:cs="宋体"/>
                <w:kern w:val="0"/>
                <w:sz w:val="21"/>
                <w:szCs w:val="21"/>
                <w:lang w:val="en-US" w:eastAsia="zh-CN"/>
              </w:rPr>
              <w:t>及商务</w:t>
            </w:r>
            <w:r>
              <w:rPr>
                <w:rFonts w:hint="eastAsia" w:ascii="宋体" w:hAnsi="宋体" w:eastAsia="宋体" w:cs="宋体"/>
                <w:kern w:val="0"/>
                <w:sz w:val="21"/>
                <w:szCs w:val="21"/>
              </w:rPr>
              <w:t>要求中包含子项的，按子项响应情况逐项评分。</w:t>
            </w:r>
          </w:p>
        </w:tc>
        <w:tc>
          <w:tcPr>
            <w:tcW w:w="1187" w:type="dxa"/>
            <w:vAlign w:val="center"/>
          </w:tcPr>
          <w:p w14:paraId="7B7D9FB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20</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560AD4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57882E3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napToGrid w:val="0"/>
                <w:kern w:val="0"/>
                <w:sz w:val="21"/>
                <w:szCs w:val="21"/>
                <w:lang w:val="en-US" w:eastAsia="zh-CN"/>
              </w:rPr>
              <w:t>6</w:t>
            </w:r>
          </w:p>
        </w:tc>
        <w:tc>
          <w:tcPr>
            <w:tcW w:w="5953" w:type="dxa"/>
            <w:vAlign w:val="center"/>
          </w:tcPr>
          <w:p w14:paraId="69462D4C">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FC5C4C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年1月1日至本项目投标截止日（以合同签订日期为准），投标人具有包含软镜类设备全保维保服务同类项目业绩情况</w:t>
            </w:r>
            <w:r>
              <w:rPr>
                <w:rFonts w:hint="eastAsia" w:ascii="宋体" w:hAnsi="宋体" w:eastAsia="宋体" w:cs="宋体"/>
                <w:bCs/>
                <w:sz w:val="21"/>
                <w:szCs w:val="21"/>
              </w:rPr>
              <w:t>的</w:t>
            </w:r>
            <w:r>
              <w:rPr>
                <w:rFonts w:hint="eastAsia" w:ascii="宋体" w:hAnsi="宋体" w:eastAsia="宋体" w:cs="宋体"/>
                <w:sz w:val="21"/>
                <w:szCs w:val="21"/>
              </w:rPr>
              <w:t>，每提供1个项目得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分。同一项目续签合同的</w:t>
            </w:r>
            <w:r>
              <w:rPr>
                <w:rFonts w:hint="eastAsia" w:ascii="宋体" w:hAnsi="宋体" w:eastAsia="宋体" w:cs="宋体"/>
                <w:sz w:val="21"/>
                <w:szCs w:val="21"/>
                <w:lang w:eastAsia="zh-CN"/>
              </w:rPr>
              <w:t>只计一次</w:t>
            </w:r>
            <w:r>
              <w:rPr>
                <w:rFonts w:hint="eastAsia" w:ascii="宋体" w:hAnsi="宋体" w:eastAsia="宋体" w:cs="宋体"/>
                <w:sz w:val="21"/>
                <w:szCs w:val="21"/>
              </w:rPr>
              <w:t>得分。</w:t>
            </w:r>
          </w:p>
          <w:p w14:paraId="1607501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DFC61D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7E990D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1.提供合同关键页（关键信息包括但不仅限于合同双方的单位名称、合同项目名称、含签订合同双方的落款盖章以及签订日期的关键页）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6854A9B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r>
              <w:rPr>
                <w:rFonts w:hint="eastAsia" w:ascii="宋体" w:hAnsi="宋体" w:eastAsia="宋体" w:cs="宋体"/>
                <w:b w:val="0"/>
                <w:bCs w:val="0"/>
                <w:sz w:val="21"/>
                <w:szCs w:val="21"/>
                <w:lang w:val="en-US" w:eastAsia="zh-CN"/>
              </w:rPr>
              <w:t>（如证明材料信息相互冲突，以较不利于投标人的为准）</w:t>
            </w:r>
            <w:r>
              <w:rPr>
                <w:rFonts w:hint="eastAsia" w:ascii="宋体" w:hAnsi="宋体" w:eastAsia="宋体" w:cs="宋体"/>
                <w:sz w:val="21"/>
                <w:szCs w:val="21"/>
              </w:rPr>
              <w:t>；</w:t>
            </w:r>
          </w:p>
          <w:p w14:paraId="4403FB26">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239F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EC82DD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49BF899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napToGrid w:val="0"/>
                <w:kern w:val="0"/>
                <w:sz w:val="21"/>
                <w:szCs w:val="21"/>
                <w:lang w:eastAsia="zh-CN"/>
              </w:rPr>
            </w:pPr>
            <w:r>
              <w:rPr>
                <w:rFonts w:hint="eastAsia" w:ascii="宋体" w:hAnsi="宋体" w:eastAsia="宋体" w:cs="宋体"/>
                <w:kern w:val="0"/>
                <w:sz w:val="21"/>
                <w:szCs w:val="21"/>
                <w:lang w:val="en-US" w:eastAsia="zh-CN"/>
              </w:rPr>
              <w:t>4</w:t>
            </w:r>
          </w:p>
        </w:tc>
        <w:tc>
          <w:tcPr>
            <w:tcW w:w="5953" w:type="dxa"/>
            <w:vAlign w:val="center"/>
          </w:tcPr>
          <w:p w14:paraId="0B073029">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A794520">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178A1B8D">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（1）具有奥林巴斯内窥镜相关培训证书</w:t>
            </w:r>
            <w:r>
              <w:rPr>
                <w:rFonts w:hint="eastAsia" w:ascii="宋体" w:hAnsi="宋体" w:eastAsia="宋体" w:cs="宋体"/>
                <w:sz w:val="21"/>
                <w:szCs w:val="21"/>
                <w:lang w:eastAsia="zh-CN"/>
              </w:rPr>
              <w:t>的</w:t>
            </w:r>
            <w:r>
              <w:rPr>
                <w:rFonts w:hint="eastAsia" w:ascii="宋体" w:hAnsi="宋体" w:eastAsia="宋体" w:cs="宋体"/>
                <w:sz w:val="21"/>
                <w:szCs w:val="21"/>
              </w:rPr>
              <w:t>，得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0DA33B9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0FA3B16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2F01EE2">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w:t>
            </w:r>
            <w:r>
              <w:rPr>
                <w:rFonts w:hint="eastAsia" w:ascii="宋体" w:hAnsi="宋体" w:eastAsia="宋体" w:cs="宋体"/>
                <w:sz w:val="21"/>
                <w:szCs w:val="21"/>
                <w:lang w:eastAsia="zh-CN"/>
              </w:rPr>
              <w:t>（含投标当月）</w:t>
            </w:r>
            <w:r>
              <w:rPr>
                <w:rFonts w:hint="eastAsia" w:ascii="宋体" w:hAnsi="宋体" w:eastAsia="宋体" w:cs="宋体"/>
                <w:sz w:val="21"/>
                <w:szCs w:val="21"/>
              </w:rPr>
              <w:t>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1711852E">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2.提供项目负责人</w:t>
            </w:r>
            <w:r>
              <w:rPr>
                <w:rFonts w:hint="eastAsia" w:ascii="宋体" w:hAnsi="宋体" w:eastAsia="宋体" w:cs="宋体"/>
                <w:sz w:val="21"/>
                <w:szCs w:val="21"/>
                <w:lang w:val="en-US" w:eastAsia="zh-CN"/>
              </w:rPr>
              <w:t>相关证书作为得分依据</w:t>
            </w:r>
            <w:r>
              <w:rPr>
                <w:rFonts w:hint="eastAsia" w:ascii="宋体" w:hAnsi="宋体" w:eastAsia="宋体" w:cs="宋体"/>
                <w:sz w:val="21"/>
                <w:szCs w:val="21"/>
              </w:rPr>
              <w:t>；</w:t>
            </w:r>
          </w:p>
          <w:p w14:paraId="6F3C562F">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b/>
                <w:bCs/>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40CB9D4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A17302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2AA5887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03D227D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5</w:t>
            </w:r>
          </w:p>
        </w:tc>
        <w:tc>
          <w:tcPr>
            <w:tcW w:w="5953" w:type="dxa"/>
            <w:vAlign w:val="center"/>
          </w:tcPr>
          <w:p w14:paraId="454E7B68">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95F7774">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335723F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具有</w:t>
            </w:r>
            <w:r>
              <w:rPr>
                <w:rFonts w:hint="eastAsia" w:ascii="宋体" w:hAnsi="宋体" w:eastAsia="宋体" w:cs="宋体"/>
                <w:sz w:val="21"/>
                <w:szCs w:val="21"/>
                <w:lang w:val="en-US" w:eastAsia="zh-CN"/>
              </w:rPr>
              <w:t>本项目维保设备</w:t>
            </w:r>
            <w:r>
              <w:rPr>
                <w:rFonts w:hint="eastAsia" w:ascii="宋体" w:hAnsi="宋体" w:eastAsia="宋体" w:cs="宋体"/>
                <w:sz w:val="21"/>
                <w:szCs w:val="21"/>
              </w:rPr>
              <w:t>生产厂商奥林巴斯内镜维修工程师资质认证的，每提供1人得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val="en-US" w:eastAsia="zh-CN"/>
              </w:rPr>
              <w:t>最高得5</w:t>
            </w:r>
            <w:r>
              <w:rPr>
                <w:rFonts w:hint="eastAsia" w:ascii="宋体" w:hAnsi="宋体" w:eastAsia="宋体" w:cs="宋体"/>
                <w:sz w:val="21"/>
                <w:szCs w:val="21"/>
              </w:rPr>
              <w:t>分。</w:t>
            </w:r>
          </w:p>
          <w:p w14:paraId="0D06B61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B1C83B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2910D8C">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w:t>
            </w:r>
            <w:r>
              <w:rPr>
                <w:rFonts w:hint="eastAsia" w:ascii="宋体" w:hAnsi="宋体" w:eastAsia="宋体" w:cs="宋体"/>
                <w:sz w:val="21"/>
                <w:szCs w:val="21"/>
                <w:lang w:eastAsia="zh-CN"/>
              </w:rPr>
              <w:t>（含投标当月）</w:t>
            </w:r>
            <w:r>
              <w:rPr>
                <w:rFonts w:hint="eastAsia" w:ascii="宋体" w:hAnsi="宋体" w:eastAsia="宋体" w:cs="宋体"/>
                <w:sz w:val="21"/>
                <w:szCs w:val="21"/>
              </w:rPr>
              <w:t>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721D4005">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2.提供</w:t>
            </w:r>
            <w:r>
              <w:rPr>
                <w:rFonts w:hint="eastAsia" w:ascii="宋体" w:hAnsi="宋体" w:eastAsia="宋体" w:cs="宋体"/>
                <w:sz w:val="21"/>
                <w:szCs w:val="21"/>
                <w:lang w:val="en-US" w:eastAsia="zh-CN"/>
              </w:rPr>
              <w:t>项目团队成员</w:t>
            </w:r>
            <w:r>
              <w:rPr>
                <w:rFonts w:hint="eastAsia" w:ascii="宋体" w:hAnsi="宋体" w:eastAsia="宋体" w:cs="宋体"/>
                <w:color w:val="auto"/>
                <w:kern w:val="2"/>
                <w:sz w:val="21"/>
                <w:szCs w:val="21"/>
                <w:highlight w:val="none"/>
                <w:lang w:bidi="ar"/>
              </w:rPr>
              <w:t>的工程师原厂培训证书作为得分依据</w:t>
            </w:r>
            <w:r>
              <w:rPr>
                <w:rFonts w:hint="eastAsia" w:ascii="宋体" w:hAnsi="宋体" w:eastAsia="宋体" w:cs="宋体"/>
                <w:sz w:val="21"/>
                <w:szCs w:val="21"/>
              </w:rPr>
              <w:t>；</w:t>
            </w:r>
          </w:p>
          <w:p w14:paraId="444A7359">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0F3178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4</w:t>
            </w:r>
          </w:p>
        </w:tc>
        <w:tc>
          <w:tcPr>
            <w:tcW w:w="1143" w:type="dxa"/>
            <w:vAlign w:val="center"/>
          </w:tcPr>
          <w:p w14:paraId="42B13F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5"/>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7"/>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5" w:name="_Toc44691162"/>
      <w:bookmarkStart w:id="16" w:name="_Toc44690703"/>
      <w:bookmarkStart w:id="17" w:name="_Toc44690430"/>
      <w:bookmarkStart w:id="18" w:name="_Toc135293165"/>
      <w:bookmarkStart w:id="19" w:name="_Toc44691394"/>
      <w:r>
        <w:rPr>
          <w:rFonts w:hint="eastAsia" w:asciiTheme="minorEastAsia" w:hAnsiTheme="minorEastAsia"/>
          <w:bCs w:val="0"/>
          <w:sz w:val="21"/>
          <w:szCs w:val="21"/>
        </w:rPr>
        <w:t>备注：</w:t>
      </w:r>
      <w:bookmarkEnd w:id="15"/>
      <w:bookmarkEnd w:id="16"/>
      <w:bookmarkEnd w:id="17"/>
      <w:bookmarkEnd w:id="18"/>
      <w:bookmarkEnd w:id="19"/>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6"/>
        <w:keepNext w:val="0"/>
        <w:keepLines w:val="0"/>
        <w:pageBreakBefore w:val="0"/>
        <w:widowControl w:val="0"/>
        <w:kinsoku/>
        <w:wordWrap/>
        <w:overflowPunct/>
        <w:topLinePunct w:val="0"/>
        <w:bidi w:val="0"/>
        <w:spacing w:before="0" w:after="0"/>
      </w:pPr>
      <w:bookmarkStart w:id="20" w:name="_Toc135293166"/>
      <w:r>
        <w:rPr>
          <w:rFonts w:hint="eastAsia"/>
        </w:rPr>
        <w:t>1、资质证书有效期</w:t>
      </w:r>
      <w:bookmarkEnd w:id="20"/>
    </w:p>
    <w:p w14:paraId="26C778A6">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7B2CE8EC">
      <w:pPr>
        <w:pStyle w:val="6"/>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1" w:name="_Toc135293167"/>
      <w:r>
        <w:rPr>
          <w:rFonts w:hint="eastAsia" w:asciiTheme="minorEastAsia" w:hAnsiTheme="minorEastAsia" w:eastAsiaTheme="minorEastAsia"/>
        </w:rPr>
        <w:t>2、政府采购扶持政策</w:t>
      </w:r>
      <w:bookmarkEnd w:id="21"/>
    </w:p>
    <w:p w14:paraId="3369667D">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77B52EE">
      <w:pPr>
        <w:pStyle w:val="4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四</w:t>
      </w:r>
      <w:r>
        <w:rPr>
          <w:rFonts w:hint="eastAsia" w:ascii="宋体" w:hAnsi="宋体" w:eastAsia="宋体" w:cs="宋体"/>
          <w:b/>
          <w:sz w:val="21"/>
          <w:szCs w:val="21"/>
        </w:rPr>
        <w:t>）</w:t>
      </w:r>
      <w:r>
        <w:rPr>
          <w:rStyle w:val="54"/>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7768E73B">
      <w:pPr>
        <w:pStyle w:val="4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default" w:ascii="宋体" w:hAnsi="宋体" w:eastAsia="宋体" w:cs="宋体"/>
          <w:b/>
          <w:sz w:val="21"/>
          <w:szCs w:val="21"/>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5"/>
      </w:pPr>
      <w:bookmarkStart w:id="22" w:name="_Toc135293168"/>
      <w:r>
        <w:rPr>
          <w:rFonts w:hint="eastAsia"/>
        </w:rPr>
        <w:t>第五章  投标人须知前附表</w:t>
      </w:r>
      <w:bookmarkEnd w:id="22"/>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9"/>
              <w:spacing w:line="360" w:lineRule="auto"/>
              <w:jc w:val="center"/>
              <w:rPr>
                <w:rFonts w:hAnsi="宋体"/>
              </w:rPr>
            </w:pPr>
            <w:r>
              <w:rPr>
                <w:rFonts w:hint="eastAsia" w:hAnsi="宋体"/>
              </w:rPr>
              <w:t>项号</w:t>
            </w:r>
          </w:p>
        </w:tc>
        <w:tc>
          <w:tcPr>
            <w:tcW w:w="1038" w:type="dxa"/>
            <w:vAlign w:val="center"/>
          </w:tcPr>
          <w:p w14:paraId="004FF1B2">
            <w:pPr>
              <w:pStyle w:val="29"/>
              <w:spacing w:line="360" w:lineRule="auto"/>
              <w:jc w:val="center"/>
              <w:rPr>
                <w:rFonts w:hAnsi="宋体"/>
              </w:rPr>
            </w:pPr>
            <w:r>
              <w:rPr>
                <w:rFonts w:hint="eastAsia" w:hAnsi="宋体"/>
              </w:rPr>
              <w:t>条款号</w:t>
            </w:r>
          </w:p>
        </w:tc>
        <w:tc>
          <w:tcPr>
            <w:tcW w:w="1843" w:type="dxa"/>
            <w:vAlign w:val="center"/>
          </w:tcPr>
          <w:p w14:paraId="39C88661">
            <w:pPr>
              <w:pStyle w:val="29"/>
              <w:spacing w:line="360" w:lineRule="auto"/>
              <w:jc w:val="center"/>
              <w:rPr>
                <w:rFonts w:hAnsi="宋体"/>
              </w:rPr>
            </w:pPr>
            <w:r>
              <w:rPr>
                <w:rFonts w:hint="eastAsia" w:hAnsi="宋体"/>
              </w:rPr>
              <w:t>内容</w:t>
            </w:r>
          </w:p>
        </w:tc>
        <w:tc>
          <w:tcPr>
            <w:tcW w:w="6520" w:type="dxa"/>
          </w:tcPr>
          <w:p w14:paraId="2FA7FB95">
            <w:pPr>
              <w:pStyle w:val="29"/>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9"/>
              <w:spacing w:line="360" w:lineRule="auto"/>
              <w:jc w:val="center"/>
              <w:rPr>
                <w:rFonts w:hAnsi="宋体"/>
              </w:rPr>
            </w:pPr>
            <w:r>
              <w:rPr>
                <w:rFonts w:hAnsi="宋体"/>
              </w:rPr>
              <w:t>1</w:t>
            </w:r>
          </w:p>
        </w:tc>
        <w:tc>
          <w:tcPr>
            <w:tcW w:w="1038" w:type="dxa"/>
            <w:vAlign w:val="center"/>
          </w:tcPr>
          <w:p w14:paraId="7A147954">
            <w:pPr>
              <w:pStyle w:val="29"/>
              <w:spacing w:line="360" w:lineRule="auto"/>
              <w:jc w:val="center"/>
              <w:rPr>
                <w:rFonts w:hAnsi="宋体"/>
              </w:rPr>
            </w:pPr>
            <w:r>
              <w:rPr>
                <w:rFonts w:hAnsi="宋体"/>
              </w:rPr>
              <w:t>1.1</w:t>
            </w:r>
          </w:p>
        </w:tc>
        <w:tc>
          <w:tcPr>
            <w:tcW w:w="1843" w:type="dxa"/>
            <w:vAlign w:val="center"/>
          </w:tcPr>
          <w:p w14:paraId="2345A54F">
            <w:pPr>
              <w:pStyle w:val="29"/>
              <w:spacing w:line="360" w:lineRule="exact"/>
              <w:jc w:val="center"/>
              <w:rPr>
                <w:rFonts w:hAnsi="宋体"/>
              </w:rPr>
            </w:pPr>
            <w:r>
              <w:rPr>
                <w:rFonts w:hint="eastAsia" w:hAnsi="宋体"/>
              </w:rPr>
              <w:t>项目名称</w:t>
            </w:r>
          </w:p>
        </w:tc>
        <w:tc>
          <w:tcPr>
            <w:tcW w:w="6520" w:type="dxa"/>
            <w:vAlign w:val="center"/>
          </w:tcPr>
          <w:p w14:paraId="69996866">
            <w:pPr>
              <w:pStyle w:val="29"/>
              <w:spacing w:line="360" w:lineRule="exact"/>
              <w:rPr>
                <w:rFonts w:hint="eastAsia" w:eastAsia="宋体"/>
                <w:lang w:eastAsia="zh-CN"/>
              </w:rPr>
            </w:pPr>
            <w:r>
              <w:rPr>
                <w:rFonts w:hint="eastAsia"/>
                <w:lang w:eastAsia="zh-CN"/>
              </w:rPr>
              <w:t>29条奥林巴斯消化内镜维保服务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9"/>
              <w:spacing w:line="360" w:lineRule="auto"/>
              <w:jc w:val="center"/>
              <w:rPr>
                <w:rFonts w:hAnsi="宋体"/>
              </w:rPr>
            </w:pPr>
            <w:r>
              <w:rPr>
                <w:rFonts w:hint="eastAsia" w:hAnsi="宋体"/>
              </w:rPr>
              <w:t>2</w:t>
            </w:r>
          </w:p>
        </w:tc>
        <w:tc>
          <w:tcPr>
            <w:tcW w:w="1038" w:type="dxa"/>
            <w:vAlign w:val="center"/>
          </w:tcPr>
          <w:p w14:paraId="4A2440BC">
            <w:pPr>
              <w:pStyle w:val="29"/>
              <w:spacing w:line="360" w:lineRule="auto"/>
              <w:jc w:val="center"/>
              <w:rPr>
                <w:rFonts w:hAnsi="宋体"/>
              </w:rPr>
            </w:pPr>
            <w:r>
              <w:rPr>
                <w:rFonts w:hAnsi="宋体"/>
              </w:rPr>
              <w:t>2.1</w:t>
            </w:r>
          </w:p>
        </w:tc>
        <w:tc>
          <w:tcPr>
            <w:tcW w:w="1843" w:type="dxa"/>
            <w:vAlign w:val="center"/>
          </w:tcPr>
          <w:p w14:paraId="37A75B13">
            <w:pPr>
              <w:pStyle w:val="29"/>
              <w:spacing w:line="360" w:lineRule="exact"/>
              <w:jc w:val="center"/>
              <w:rPr>
                <w:rFonts w:hAnsi="宋体"/>
              </w:rPr>
            </w:pPr>
            <w:r>
              <w:rPr>
                <w:rFonts w:hint="eastAsia" w:hAnsi="宋体"/>
              </w:rPr>
              <w:t>采购人</w:t>
            </w:r>
          </w:p>
        </w:tc>
        <w:tc>
          <w:tcPr>
            <w:tcW w:w="6520" w:type="dxa"/>
            <w:vAlign w:val="center"/>
          </w:tcPr>
          <w:p w14:paraId="64AC917D">
            <w:pPr>
              <w:pStyle w:val="29"/>
              <w:spacing w:line="360" w:lineRule="exact"/>
              <w:rPr>
                <w:rFonts w:hint="eastAsia" w:hAnsi="宋体" w:eastAsia="宋体"/>
                <w:szCs w:val="24"/>
                <w:lang w:eastAsia="zh-CN"/>
              </w:rPr>
            </w:pPr>
            <w:r>
              <w:rPr>
                <w:rFonts w:hint="eastAsia" w:hAnsi="宋体"/>
                <w:snapToGrid w:val="0"/>
                <w:szCs w:val="21"/>
                <w:lang w:eastAsia="zh-CN"/>
              </w:rPr>
              <w:t>深圳市第三人民医院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9"/>
              <w:spacing w:line="360" w:lineRule="auto"/>
              <w:jc w:val="center"/>
              <w:rPr>
                <w:rFonts w:hAnsi="宋体"/>
              </w:rPr>
            </w:pPr>
            <w:r>
              <w:rPr>
                <w:rFonts w:hint="eastAsia" w:hAnsi="宋体"/>
              </w:rPr>
              <w:t>3</w:t>
            </w:r>
          </w:p>
        </w:tc>
        <w:tc>
          <w:tcPr>
            <w:tcW w:w="1038" w:type="dxa"/>
            <w:vAlign w:val="center"/>
          </w:tcPr>
          <w:p w14:paraId="422E9C5A">
            <w:pPr>
              <w:pStyle w:val="29"/>
              <w:spacing w:line="360" w:lineRule="auto"/>
              <w:jc w:val="center"/>
              <w:rPr>
                <w:rFonts w:hAnsi="宋体"/>
              </w:rPr>
            </w:pPr>
            <w:r>
              <w:rPr>
                <w:rFonts w:hAnsi="宋体"/>
              </w:rPr>
              <w:t>2.2</w:t>
            </w:r>
          </w:p>
        </w:tc>
        <w:tc>
          <w:tcPr>
            <w:tcW w:w="1843" w:type="dxa"/>
            <w:vAlign w:val="center"/>
          </w:tcPr>
          <w:p w14:paraId="4C9A2A2B">
            <w:pPr>
              <w:pStyle w:val="29"/>
              <w:spacing w:line="360" w:lineRule="exact"/>
              <w:jc w:val="center"/>
              <w:rPr>
                <w:rFonts w:hAnsi="宋体"/>
              </w:rPr>
            </w:pPr>
            <w:r>
              <w:rPr>
                <w:rFonts w:hint="eastAsia" w:hAnsi="宋体"/>
              </w:rPr>
              <w:t>采购代理机构</w:t>
            </w:r>
          </w:p>
        </w:tc>
        <w:tc>
          <w:tcPr>
            <w:tcW w:w="6520" w:type="dxa"/>
            <w:vAlign w:val="center"/>
          </w:tcPr>
          <w:p w14:paraId="3A4B40E0">
            <w:pPr>
              <w:pStyle w:val="29"/>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9"/>
              <w:spacing w:line="360" w:lineRule="auto"/>
              <w:jc w:val="center"/>
              <w:rPr>
                <w:rFonts w:hAnsi="宋体"/>
              </w:rPr>
            </w:pPr>
            <w:r>
              <w:rPr>
                <w:rFonts w:hint="eastAsia" w:hAnsi="宋体"/>
              </w:rPr>
              <w:t>4</w:t>
            </w:r>
          </w:p>
        </w:tc>
        <w:tc>
          <w:tcPr>
            <w:tcW w:w="1038" w:type="dxa"/>
            <w:vAlign w:val="center"/>
          </w:tcPr>
          <w:p w14:paraId="0FE24216">
            <w:pPr>
              <w:pStyle w:val="29"/>
              <w:spacing w:line="360" w:lineRule="auto"/>
              <w:jc w:val="center"/>
              <w:rPr>
                <w:rFonts w:hAnsi="宋体"/>
              </w:rPr>
            </w:pPr>
            <w:r>
              <w:rPr>
                <w:rFonts w:hint="eastAsia" w:hAnsi="宋体"/>
              </w:rPr>
              <w:t>3.1</w:t>
            </w:r>
          </w:p>
        </w:tc>
        <w:tc>
          <w:tcPr>
            <w:tcW w:w="1843" w:type="dxa"/>
            <w:vAlign w:val="center"/>
          </w:tcPr>
          <w:p w14:paraId="26DEF2DF">
            <w:pPr>
              <w:pStyle w:val="29"/>
              <w:spacing w:line="360" w:lineRule="exact"/>
              <w:jc w:val="center"/>
              <w:rPr>
                <w:rFonts w:hAnsi="宋体"/>
              </w:rPr>
            </w:pPr>
            <w:r>
              <w:rPr>
                <w:rFonts w:hint="eastAsia" w:hAnsi="宋体"/>
              </w:rPr>
              <w:t>资金来源</w:t>
            </w:r>
          </w:p>
        </w:tc>
        <w:tc>
          <w:tcPr>
            <w:tcW w:w="6520" w:type="dxa"/>
            <w:vAlign w:val="center"/>
          </w:tcPr>
          <w:p w14:paraId="39F0A3BB">
            <w:pPr>
              <w:pStyle w:val="29"/>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9"/>
              <w:spacing w:line="360" w:lineRule="auto"/>
              <w:jc w:val="center"/>
              <w:rPr>
                <w:rFonts w:hAnsi="宋体"/>
              </w:rPr>
            </w:pPr>
            <w:r>
              <w:rPr>
                <w:rFonts w:hint="eastAsia" w:hAnsi="宋体"/>
              </w:rPr>
              <w:t>5</w:t>
            </w:r>
          </w:p>
        </w:tc>
        <w:tc>
          <w:tcPr>
            <w:tcW w:w="1038" w:type="dxa"/>
            <w:vAlign w:val="center"/>
          </w:tcPr>
          <w:p w14:paraId="6291A907">
            <w:pPr>
              <w:pStyle w:val="29"/>
              <w:spacing w:line="360" w:lineRule="auto"/>
              <w:jc w:val="center"/>
              <w:rPr>
                <w:rFonts w:hAnsi="宋体"/>
              </w:rPr>
            </w:pPr>
            <w:r>
              <w:rPr>
                <w:rFonts w:hint="eastAsia" w:hAnsi="宋体"/>
              </w:rPr>
              <w:t>4.7</w:t>
            </w:r>
          </w:p>
        </w:tc>
        <w:tc>
          <w:tcPr>
            <w:tcW w:w="1843" w:type="dxa"/>
            <w:vAlign w:val="center"/>
          </w:tcPr>
          <w:p w14:paraId="779D6175">
            <w:pPr>
              <w:pStyle w:val="29"/>
              <w:spacing w:line="360" w:lineRule="auto"/>
              <w:jc w:val="center"/>
              <w:rPr>
                <w:rFonts w:hAnsi="宋体"/>
              </w:rPr>
            </w:pPr>
            <w:r>
              <w:rPr>
                <w:rFonts w:hint="eastAsia" w:hAnsi="宋体"/>
              </w:rPr>
              <w:t>投标人资格要求</w:t>
            </w:r>
          </w:p>
        </w:tc>
        <w:tc>
          <w:tcPr>
            <w:tcW w:w="6520" w:type="dxa"/>
            <w:vAlign w:val="center"/>
          </w:tcPr>
          <w:p w14:paraId="746E7684">
            <w:pPr>
              <w:pStyle w:val="29"/>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9"/>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9"/>
              <w:spacing w:line="360" w:lineRule="auto"/>
              <w:jc w:val="center"/>
              <w:rPr>
                <w:rFonts w:hAnsi="宋体"/>
              </w:rPr>
            </w:pPr>
            <w:r>
              <w:rPr>
                <w:rFonts w:hint="eastAsia" w:hAnsi="宋体"/>
              </w:rPr>
              <w:t>6</w:t>
            </w:r>
          </w:p>
        </w:tc>
        <w:tc>
          <w:tcPr>
            <w:tcW w:w="1038" w:type="dxa"/>
            <w:vAlign w:val="center"/>
          </w:tcPr>
          <w:p w14:paraId="1A3D77A0">
            <w:pPr>
              <w:pStyle w:val="29"/>
              <w:spacing w:line="360" w:lineRule="auto"/>
              <w:jc w:val="center"/>
              <w:rPr>
                <w:rFonts w:hAnsi="宋体"/>
              </w:rPr>
            </w:pPr>
            <w:r>
              <w:rPr>
                <w:rFonts w:hint="eastAsia" w:hAnsi="宋体"/>
              </w:rPr>
              <w:t>4.8</w:t>
            </w:r>
          </w:p>
        </w:tc>
        <w:tc>
          <w:tcPr>
            <w:tcW w:w="1843" w:type="dxa"/>
            <w:vAlign w:val="center"/>
          </w:tcPr>
          <w:p w14:paraId="47A975DB">
            <w:pPr>
              <w:pStyle w:val="29"/>
              <w:spacing w:line="360" w:lineRule="auto"/>
              <w:jc w:val="center"/>
              <w:rPr>
                <w:rFonts w:hAnsi="宋体"/>
              </w:rPr>
            </w:pPr>
            <w:r>
              <w:rPr>
                <w:rFonts w:hint="eastAsia" w:hAnsi="宋体"/>
              </w:rPr>
              <w:t>联合体投标</w:t>
            </w:r>
          </w:p>
        </w:tc>
        <w:tc>
          <w:tcPr>
            <w:tcW w:w="6520" w:type="dxa"/>
          </w:tcPr>
          <w:p w14:paraId="0736499A">
            <w:pPr>
              <w:pStyle w:val="29"/>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9"/>
              <w:spacing w:line="360" w:lineRule="auto"/>
              <w:jc w:val="center"/>
              <w:rPr>
                <w:rFonts w:hAnsi="宋体"/>
              </w:rPr>
            </w:pPr>
            <w:r>
              <w:rPr>
                <w:rFonts w:hint="eastAsia" w:hAnsi="宋体"/>
              </w:rPr>
              <w:t>7</w:t>
            </w:r>
          </w:p>
        </w:tc>
        <w:tc>
          <w:tcPr>
            <w:tcW w:w="1038" w:type="dxa"/>
            <w:vAlign w:val="center"/>
          </w:tcPr>
          <w:p w14:paraId="497A0126">
            <w:pPr>
              <w:pStyle w:val="29"/>
              <w:spacing w:line="360" w:lineRule="auto"/>
              <w:jc w:val="center"/>
              <w:rPr>
                <w:rFonts w:hAnsi="宋体"/>
              </w:rPr>
            </w:pPr>
            <w:r>
              <w:rPr>
                <w:rFonts w:hint="eastAsia" w:hAnsi="宋体"/>
              </w:rPr>
              <w:t>6.1</w:t>
            </w:r>
          </w:p>
        </w:tc>
        <w:tc>
          <w:tcPr>
            <w:tcW w:w="1843" w:type="dxa"/>
            <w:vAlign w:val="center"/>
          </w:tcPr>
          <w:p w14:paraId="2863D47B">
            <w:pPr>
              <w:pStyle w:val="29"/>
              <w:spacing w:line="360" w:lineRule="auto"/>
              <w:jc w:val="center"/>
              <w:rPr>
                <w:rFonts w:hAnsi="宋体"/>
              </w:rPr>
            </w:pPr>
            <w:r>
              <w:rPr>
                <w:rFonts w:hint="eastAsia" w:hAnsi="宋体"/>
              </w:rPr>
              <w:t>踏勘现场</w:t>
            </w:r>
          </w:p>
        </w:tc>
        <w:tc>
          <w:tcPr>
            <w:tcW w:w="6520" w:type="dxa"/>
          </w:tcPr>
          <w:p w14:paraId="5647A1CB">
            <w:pPr>
              <w:pStyle w:val="29"/>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9"/>
              <w:spacing w:line="360" w:lineRule="auto"/>
              <w:jc w:val="center"/>
              <w:rPr>
                <w:rFonts w:hAnsi="宋体"/>
              </w:rPr>
            </w:pPr>
            <w:r>
              <w:rPr>
                <w:rFonts w:hint="eastAsia" w:hAnsi="宋体"/>
              </w:rPr>
              <w:t>8</w:t>
            </w:r>
          </w:p>
        </w:tc>
        <w:tc>
          <w:tcPr>
            <w:tcW w:w="1038" w:type="dxa"/>
            <w:vAlign w:val="center"/>
          </w:tcPr>
          <w:p w14:paraId="4F69E3C5">
            <w:pPr>
              <w:pStyle w:val="29"/>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9"/>
              <w:spacing w:line="360" w:lineRule="auto"/>
              <w:jc w:val="center"/>
              <w:rPr>
                <w:rFonts w:hAnsi="宋体"/>
              </w:rPr>
            </w:pPr>
            <w:r>
              <w:rPr>
                <w:rFonts w:hint="eastAsia" w:hAnsi="宋体"/>
              </w:rPr>
              <w:t>投标有效期</w:t>
            </w:r>
          </w:p>
        </w:tc>
        <w:tc>
          <w:tcPr>
            <w:tcW w:w="6520" w:type="dxa"/>
          </w:tcPr>
          <w:p w14:paraId="46B2DF29">
            <w:pPr>
              <w:pStyle w:val="29"/>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9"/>
              <w:spacing w:line="360" w:lineRule="auto"/>
              <w:jc w:val="center"/>
              <w:rPr>
                <w:rFonts w:hAnsi="宋体"/>
              </w:rPr>
            </w:pPr>
            <w:r>
              <w:rPr>
                <w:rFonts w:hint="eastAsia" w:hAnsi="宋体"/>
              </w:rPr>
              <w:t>9</w:t>
            </w:r>
          </w:p>
        </w:tc>
        <w:tc>
          <w:tcPr>
            <w:tcW w:w="1038" w:type="dxa"/>
            <w:vAlign w:val="center"/>
          </w:tcPr>
          <w:p w14:paraId="584E15B6">
            <w:pPr>
              <w:pStyle w:val="29"/>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9"/>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9"/>
              <w:spacing w:line="360" w:lineRule="auto"/>
              <w:jc w:val="center"/>
              <w:rPr>
                <w:rFonts w:hAnsi="宋体"/>
              </w:rPr>
            </w:pPr>
            <w:r>
              <w:rPr>
                <w:rFonts w:hint="eastAsia" w:hAnsi="宋体"/>
              </w:rPr>
              <w:t>10</w:t>
            </w:r>
          </w:p>
        </w:tc>
        <w:tc>
          <w:tcPr>
            <w:tcW w:w="1038" w:type="dxa"/>
            <w:vAlign w:val="center"/>
          </w:tcPr>
          <w:p w14:paraId="10018AC5">
            <w:pPr>
              <w:pStyle w:val="29"/>
              <w:spacing w:line="360" w:lineRule="auto"/>
              <w:jc w:val="center"/>
              <w:rPr>
                <w:rFonts w:hAnsi="宋体"/>
              </w:rPr>
            </w:pPr>
            <w:r>
              <w:rPr>
                <w:rFonts w:hint="eastAsia" w:hAnsi="宋体"/>
              </w:rPr>
              <w:t>16.1</w:t>
            </w:r>
          </w:p>
        </w:tc>
        <w:tc>
          <w:tcPr>
            <w:tcW w:w="1843" w:type="dxa"/>
            <w:vAlign w:val="center"/>
          </w:tcPr>
          <w:p w14:paraId="0AB9D9CB">
            <w:pPr>
              <w:pStyle w:val="29"/>
              <w:spacing w:line="360" w:lineRule="auto"/>
              <w:jc w:val="center"/>
              <w:rPr>
                <w:rFonts w:hAnsi="宋体"/>
              </w:rPr>
            </w:pPr>
            <w:r>
              <w:rPr>
                <w:rFonts w:hint="eastAsia" w:hAnsi="宋体"/>
              </w:rPr>
              <w:t>投标预备会</w:t>
            </w:r>
          </w:p>
          <w:p w14:paraId="53FE8470">
            <w:pPr>
              <w:pStyle w:val="29"/>
              <w:spacing w:line="360" w:lineRule="auto"/>
              <w:jc w:val="center"/>
              <w:rPr>
                <w:rFonts w:hAnsi="宋体"/>
              </w:rPr>
            </w:pPr>
            <w:r>
              <w:rPr>
                <w:rFonts w:hint="eastAsia" w:hAnsi="宋体"/>
              </w:rPr>
              <w:t>（答疑会）</w:t>
            </w:r>
          </w:p>
        </w:tc>
        <w:tc>
          <w:tcPr>
            <w:tcW w:w="6520" w:type="dxa"/>
            <w:vAlign w:val="center"/>
          </w:tcPr>
          <w:p w14:paraId="571F2922">
            <w:pPr>
              <w:pStyle w:val="29"/>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9"/>
              <w:spacing w:line="360" w:lineRule="auto"/>
              <w:jc w:val="center"/>
              <w:rPr>
                <w:rFonts w:hAnsi="宋体"/>
              </w:rPr>
            </w:pPr>
            <w:r>
              <w:rPr>
                <w:rFonts w:hint="eastAsia" w:hAnsi="宋体"/>
              </w:rPr>
              <w:t>11</w:t>
            </w:r>
          </w:p>
        </w:tc>
        <w:tc>
          <w:tcPr>
            <w:tcW w:w="1038" w:type="dxa"/>
            <w:vAlign w:val="center"/>
          </w:tcPr>
          <w:p w14:paraId="44D6EC10">
            <w:pPr>
              <w:pStyle w:val="29"/>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9"/>
              <w:spacing w:line="360" w:lineRule="auto"/>
              <w:jc w:val="center"/>
              <w:rPr>
                <w:rFonts w:hAnsi="宋体"/>
              </w:rPr>
            </w:pPr>
            <w:r>
              <w:rPr>
                <w:rFonts w:hint="eastAsia" w:hAnsi="宋体"/>
              </w:rPr>
              <w:t>投标文件数量</w:t>
            </w:r>
          </w:p>
        </w:tc>
        <w:tc>
          <w:tcPr>
            <w:tcW w:w="6520" w:type="dxa"/>
          </w:tcPr>
          <w:p w14:paraId="445A2CF5">
            <w:pPr>
              <w:pStyle w:val="29"/>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9"/>
              <w:spacing w:line="360" w:lineRule="auto"/>
              <w:jc w:val="center"/>
              <w:rPr>
                <w:rFonts w:hAnsi="宋体"/>
              </w:rPr>
            </w:pPr>
            <w:r>
              <w:rPr>
                <w:rFonts w:hint="eastAsia" w:hAnsi="宋体"/>
              </w:rPr>
              <w:t>12</w:t>
            </w:r>
          </w:p>
        </w:tc>
        <w:tc>
          <w:tcPr>
            <w:tcW w:w="1038" w:type="dxa"/>
            <w:vAlign w:val="center"/>
          </w:tcPr>
          <w:p w14:paraId="27CEC368">
            <w:pPr>
              <w:pStyle w:val="29"/>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9"/>
              <w:spacing w:line="360" w:lineRule="auto"/>
              <w:jc w:val="center"/>
              <w:rPr>
                <w:rFonts w:hAnsi="宋体"/>
              </w:rPr>
            </w:pPr>
            <w:r>
              <w:rPr>
                <w:rFonts w:hint="eastAsia" w:hAnsi="宋体"/>
              </w:rPr>
              <w:t>开标</w:t>
            </w:r>
          </w:p>
        </w:tc>
        <w:tc>
          <w:tcPr>
            <w:tcW w:w="6520" w:type="dxa"/>
          </w:tcPr>
          <w:p w14:paraId="6819E80B">
            <w:pPr>
              <w:pStyle w:val="29"/>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9"/>
              <w:spacing w:line="360" w:lineRule="auto"/>
              <w:jc w:val="center"/>
              <w:rPr>
                <w:rFonts w:hAnsi="宋体"/>
              </w:rPr>
            </w:pPr>
            <w:r>
              <w:rPr>
                <w:rFonts w:hint="eastAsia" w:hAnsi="宋体"/>
              </w:rPr>
              <w:t>13</w:t>
            </w:r>
          </w:p>
        </w:tc>
        <w:tc>
          <w:tcPr>
            <w:tcW w:w="1038" w:type="dxa"/>
            <w:vAlign w:val="center"/>
          </w:tcPr>
          <w:p w14:paraId="455C0D57">
            <w:pPr>
              <w:pStyle w:val="29"/>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9"/>
              <w:spacing w:line="360" w:lineRule="auto"/>
              <w:jc w:val="center"/>
              <w:rPr>
                <w:rFonts w:hAnsi="宋体"/>
              </w:rPr>
            </w:pPr>
            <w:r>
              <w:rPr>
                <w:rFonts w:hint="eastAsia" w:hAnsi="宋体"/>
              </w:rPr>
              <w:t>投标截止时间</w:t>
            </w:r>
          </w:p>
        </w:tc>
        <w:tc>
          <w:tcPr>
            <w:tcW w:w="6520" w:type="dxa"/>
          </w:tcPr>
          <w:p w14:paraId="5FCF3CA3">
            <w:pPr>
              <w:pStyle w:val="29"/>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9"/>
              <w:spacing w:line="360" w:lineRule="auto"/>
              <w:jc w:val="center"/>
              <w:rPr>
                <w:rFonts w:hAnsi="宋体"/>
              </w:rPr>
            </w:pPr>
            <w:r>
              <w:rPr>
                <w:rFonts w:hint="eastAsia" w:hAnsi="宋体"/>
              </w:rPr>
              <w:t>14</w:t>
            </w:r>
          </w:p>
        </w:tc>
        <w:tc>
          <w:tcPr>
            <w:tcW w:w="1038" w:type="dxa"/>
            <w:vAlign w:val="center"/>
          </w:tcPr>
          <w:p w14:paraId="211F0790">
            <w:pPr>
              <w:pStyle w:val="29"/>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9"/>
              <w:spacing w:line="360" w:lineRule="auto"/>
              <w:jc w:val="center"/>
              <w:rPr>
                <w:rFonts w:hAnsi="宋体"/>
              </w:rPr>
            </w:pPr>
            <w:r>
              <w:rPr>
                <w:rFonts w:hint="eastAsia" w:hAnsi="宋体"/>
              </w:rPr>
              <w:t>评标办法</w:t>
            </w:r>
          </w:p>
        </w:tc>
        <w:tc>
          <w:tcPr>
            <w:tcW w:w="6520" w:type="dxa"/>
          </w:tcPr>
          <w:p w14:paraId="61612C12">
            <w:pPr>
              <w:pStyle w:val="29"/>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9"/>
              <w:spacing w:line="360" w:lineRule="auto"/>
              <w:jc w:val="center"/>
              <w:rPr>
                <w:rFonts w:hAnsi="宋体"/>
              </w:rPr>
            </w:pPr>
            <w:r>
              <w:rPr>
                <w:rFonts w:hint="eastAsia" w:hAnsi="宋体"/>
              </w:rPr>
              <w:t>15</w:t>
            </w:r>
          </w:p>
        </w:tc>
        <w:tc>
          <w:tcPr>
            <w:tcW w:w="1038" w:type="dxa"/>
            <w:vAlign w:val="center"/>
          </w:tcPr>
          <w:p w14:paraId="30D9A54C">
            <w:pPr>
              <w:pStyle w:val="29"/>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9"/>
              <w:spacing w:line="360" w:lineRule="auto"/>
              <w:jc w:val="center"/>
              <w:rPr>
                <w:snapToGrid w:val="0"/>
                <w:kern w:val="0"/>
              </w:rPr>
            </w:pPr>
            <w:r>
              <w:rPr>
                <w:rFonts w:hint="eastAsia"/>
                <w:snapToGrid w:val="0"/>
                <w:kern w:val="0"/>
              </w:rPr>
              <w:t>履约保证金</w:t>
            </w:r>
          </w:p>
        </w:tc>
        <w:tc>
          <w:tcPr>
            <w:tcW w:w="6520" w:type="dxa"/>
          </w:tcPr>
          <w:p w14:paraId="6303119F">
            <w:pPr>
              <w:pStyle w:val="29"/>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9"/>
              <w:spacing w:line="360" w:lineRule="auto"/>
              <w:jc w:val="center"/>
              <w:rPr>
                <w:rFonts w:hAnsi="宋体"/>
              </w:rPr>
            </w:pPr>
            <w:r>
              <w:rPr>
                <w:rFonts w:hint="eastAsia" w:hAnsi="宋体"/>
              </w:rPr>
              <w:t>16</w:t>
            </w:r>
          </w:p>
        </w:tc>
        <w:tc>
          <w:tcPr>
            <w:tcW w:w="1038" w:type="dxa"/>
            <w:vAlign w:val="center"/>
          </w:tcPr>
          <w:p w14:paraId="1AB423F3">
            <w:pPr>
              <w:pStyle w:val="29"/>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9"/>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9"/>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9"/>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687E342D">
            <w:pPr>
              <w:pStyle w:val="29"/>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7406C36C">
      <w:pPr>
        <w:pStyle w:val="5"/>
      </w:pPr>
      <w:bookmarkStart w:id="23" w:name="_Toc135293169"/>
      <w:r>
        <w:rPr>
          <w:rFonts w:hint="eastAsia"/>
        </w:rPr>
        <w:t>第六章  投标人须知</w:t>
      </w:r>
      <w:bookmarkEnd w:id="23"/>
    </w:p>
    <w:p w14:paraId="2E5D3F6A">
      <w:pPr>
        <w:pStyle w:val="7"/>
        <w:spacing w:before="0" w:after="0"/>
      </w:pPr>
      <w:bookmarkStart w:id="24" w:name="_Toc135293170"/>
      <w:r>
        <w:rPr>
          <w:rFonts w:hint="eastAsia"/>
        </w:rPr>
        <w:t>一、说</w:t>
      </w:r>
      <w:r>
        <w:t xml:space="preserve">  </w:t>
      </w:r>
      <w:r>
        <w:rPr>
          <w:rFonts w:hint="eastAsia"/>
        </w:rPr>
        <w:t>明</w:t>
      </w:r>
      <w:bookmarkEnd w:id="24"/>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w:t>
      </w:r>
      <w:r>
        <w:rPr>
          <w:rFonts w:hint="eastAsia" w:asciiTheme="minorEastAsia" w:hAnsiTheme="minorEastAsia" w:eastAsiaTheme="minorEastAsia"/>
          <w:snapToGrid w:val="0"/>
          <w:kern w:val="0"/>
          <w:lang w:eastAsia="zh-CN"/>
        </w:rPr>
        <w:t>采购公告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5" w:name="q5"/>
      <w:bookmarkEnd w:id="25"/>
    </w:p>
    <w:p w14:paraId="1C5B43CC">
      <w:pPr>
        <w:pStyle w:val="7"/>
        <w:spacing w:before="0" w:after="0"/>
      </w:pPr>
      <w:bookmarkStart w:id="26" w:name="_Toc135293171"/>
      <w:r>
        <w:rPr>
          <w:rFonts w:hint="eastAsia"/>
        </w:rPr>
        <w:t>二、</w:t>
      </w:r>
      <w:r>
        <w:rPr>
          <w:rFonts w:hint="eastAsia"/>
          <w:lang w:eastAsia="zh-CN"/>
        </w:rPr>
        <w:t>征集文件</w:t>
      </w:r>
      <w:r>
        <w:rPr>
          <w:rFonts w:hint="eastAsia"/>
        </w:rPr>
        <w:t>说明</w:t>
      </w:r>
      <w:bookmarkEnd w:id="26"/>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7"/>
        <w:spacing w:before="0" w:after="0"/>
      </w:pPr>
      <w:bookmarkStart w:id="27" w:name="q6"/>
      <w:bookmarkEnd w:id="27"/>
      <w:bookmarkStart w:id="28" w:name="_Toc135293172"/>
      <w:r>
        <w:rPr>
          <w:rFonts w:hint="eastAsia"/>
        </w:rPr>
        <w:t>三、投标文件的编写</w:t>
      </w:r>
      <w:bookmarkEnd w:id="28"/>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w:t>
      </w:r>
      <w:r>
        <w:rPr>
          <w:rFonts w:hint="eastAsia" w:asciiTheme="minorEastAsia" w:hAnsiTheme="minorEastAsia" w:eastAsiaTheme="minorEastAsia"/>
          <w:lang w:eastAsia="zh-CN"/>
        </w:rPr>
        <w:t>征集</w:t>
      </w:r>
      <w:r>
        <w:rPr>
          <w:rFonts w:hint="eastAsia" w:asciiTheme="minorEastAsia" w:hAnsiTheme="minorEastAsia" w:eastAsiaTheme="minorEastAsia"/>
        </w:rPr>
        <w:t>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按照本项目投标文件格式要求提供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lang w:eastAsia="zh-CN"/>
        </w:rPr>
        <w:t>征集</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7"/>
        <w:spacing w:before="0" w:after="0"/>
      </w:pPr>
      <w:bookmarkStart w:id="29" w:name="q7"/>
      <w:bookmarkEnd w:id="29"/>
      <w:bookmarkStart w:id="30" w:name="_Toc135293173"/>
      <w:r>
        <w:rPr>
          <w:rFonts w:hint="eastAsia"/>
        </w:rPr>
        <w:t>四、投标文件的递交</w:t>
      </w:r>
      <w:bookmarkEnd w:id="30"/>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1" w:name="_Hlt35050056"/>
      <w:bookmarkEnd w:id="31"/>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7"/>
        <w:spacing w:before="0" w:after="0"/>
      </w:pPr>
      <w:bookmarkStart w:id="32" w:name="q8"/>
      <w:bookmarkEnd w:id="32"/>
      <w:bookmarkStart w:id="33" w:name="_Toc135293174"/>
      <w:r>
        <w:rPr>
          <w:rFonts w:hint="eastAsia"/>
        </w:rPr>
        <w:t>五、开标和评标</w:t>
      </w:r>
      <w:bookmarkEnd w:id="33"/>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4" w:name="q9"/>
      <w:bookmarkEnd w:id="34"/>
    </w:p>
    <w:p w14:paraId="44A988C9">
      <w:pPr>
        <w:pStyle w:val="7"/>
        <w:spacing w:before="0" w:after="0"/>
      </w:pPr>
      <w:bookmarkStart w:id="35" w:name="_Toc135293175"/>
      <w:r>
        <w:rPr>
          <w:rFonts w:hint="eastAsia"/>
        </w:rPr>
        <w:t>六、授予合同</w:t>
      </w:r>
      <w:bookmarkEnd w:id="35"/>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7"/>
        <w:spacing w:before="0" w:after="0"/>
      </w:pPr>
      <w:bookmarkStart w:id="36" w:name="_Toc135293176"/>
      <w:r>
        <w:rPr>
          <w:rFonts w:hint="eastAsia"/>
        </w:rPr>
        <w:t>七、质疑处理</w:t>
      </w:r>
      <w:bookmarkEnd w:id="36"/>
    </w:p>
    <w:p w14:paraId="754BDC90">
      <w:pPr>
        <w:spacing w:line="360" w:lineRule="auto"/>
        <w:rPr>
          <w:rFonts w:asciiTheme="majorEastAsia" w:hAnsiTheme="majorEastAsia" w:eastAsiaTheme="majorEastAsia"/>
          <w:b/>
          <w:bCs/>
          <w:szCs w:val="21"/>
        </w:rPr>
      </w:pPr>
      <w:bookmarkStart w:id="37"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8" w:name="_Hlk75374941"/>
      <w:r>
        <w:rPr>
          <w:rFonts w:hint="eastAsia" w:asciiTheme="majorEastAsia" w:hAnsiTheme="majorEastAsia" w:eastAsiaTheme="majorEastAsia"/>
          <w:szCs w:val="21"/>
        </w:rPr>
        <w:t>以联合体形式参与的，质疑应当由组成联合体的所有成员共同提出</w:t>
      </w:r>
      <w:bookmarkEnd w:id="38"/>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7"/>
    </w:p>
    <w:p w14:paraId="1A0A6741"/>
    <w:p w14:paraId="0EF3EA2D"/>
    <w:p w14:paraId="733C5883"/>
    <w:p w14:paraId="119D0EFB"/>
    <w:p w14:paraId="34F26E02"/>
    <w:p w14:paraId="4BEC3DCF"/>
    <w:p w14:paraId="7249BBC9"/>
    <w:p w14:paraId="07E8BB72"/>
    <w:p w14:paraId="3840A4C3"/>
    <w:p w14:paraId="7C75111C"/>
    <w:p w14:paraId="61E039F5"/>
    <w:p w14:paraId="5A0094DF"/>
    <w:p w14:paraId="751828F5"/>
    <w:p w14:paraId="5AB099C6"/>
    <w:p w14:paraId="4858B111"/>
    <w:p w14:paraId="5EA2942E"/>
    <w:p w14:paraId="5E971F0A"/>
    <w:p w14:paraId="1F815B33"/>
    <w:p w14:paraId="3F02514B"/>
    <w:p w14:paraId="71583268"/>
    <w:p w14:paraId="67C1A329"/>
    <w:p w14:paraId="069ED191"/>
    <w:p w14:paraId="08A50EB8"/>
    <w:p w14:paraId="059487CB"/>
    <w:p w14:paraId="2B5E3F2E">
      <w:pPr>
        <w:pStyle w:val="5"/>
      </w:pPr>
      <w:bookmarkStart w:id="39" w:name="_Toc135293177"/>
      <w:r>
        <w:rPr>
          <w:rFonts w:hint="eastAsia"/>
        </w:rPr>
        <w:t>第七章  投标文件格式</w:t>
      </w:r>
      <w:bookmarkEnd w:id="39"/>
    </w:p>
    <w:p w14:paraId="6A7BFB52">
      <w:pPr>
        <w:jc w:val="center"/>
        <w:rPr>
          <w:b/>
          <w:sz w:val="52"/>
          <w:szCs w:val="52"/>
        </w:rPr>
      </w:pPr>
    </w:p>
    <w:p w14:paraId="73393E35">
      <w:pPr>
        <w:pStyle w:val="7"/>
        <w:spacing w:line="400" w:lineRule="exact"/>
        <w:rPr>
          <w:rFonts w:ascii="仿宋" w:hAnsi="仿宋" w:eastAsia="仿宋"/>
        </w:rPr>
      </w:pPr>
      <w:bookmarkStart w:id="40" w:name="_Toc44690704"/>
      <w:bookmarkStart w:id="41" w:name="_Toc44690431"/>
      <w:bookmarkStart w:id="42" w:name="_Toc135293178"/>
      <w:bookmarkStart w:id="43" w:name="_Toc11772"/>
      <w:bookmarkStart w:id="44" w:name="_Toc14934"/>
      <w:bookmarkStart w:id="45" w:name="_Toc44691395"/>
      <w:bookmarkStart w:id="46" w:name="_Toc31468"/>
      <w:bookmarkStart w:id="47" w:name="_Toc25194"/>
      <w:bookmarkStart w:id="48" w:name="_Toc44691163"/>
      <w:r>
        <w:rPr>
          <w:rFonts w:hint="eastAsia" w:ascii="仿宋" w:hAnsi="仿宋" w:eastAsia="仿宋"/>
        </w:rPr>
        <w:t>投标文件编制说明</w:t>
      </w:r>
      <w:bookmarkEnd w:id="40"/>
      <w:bookmarkEnd w:id="41"/>
      <w:bookmarkEnd w:id="42"/>
      <w:bookmarkEnd w:id="43"/>
      <w:bookmarkEnd w:id="44"/>
      <w:bookmarkEnd w:id="45"/>
      <w:bookmarkEnd w:id="46"/>
      <w:bookmarkEnd w:id="47"/>
      <w:bookmarkEnd w:id="48"/>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w:t>
            </w:r>
            <w:r>
              <w:rPr>
                <w:rFonts w:hint="eastAsia" w:asciiTheme="minorEastAsia" w:hAnsiTheme="minorEastAsia" w:eastAsiaTheme="minorEastAsia"/>
                <w:lang w:eastAsia="zh-CN"/>
              </w:rPr>
              <w:t>征集</w:t>
            </w:r>
            <w:r>
              <w:rPr>
                <w:rFonts w:hint="eastAsia" w:asciiTheme="minorEastAsia" w:hAnsiTheme="minorEastAsia" w:eastAsiaTheme="minorEastAsia"/>
              </w:rPr>
              <w:t>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3ABB4D5">
      <w:pPr>
        <w:pStyle w:val="7"/>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7"/>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7"/>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7"/>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7"/>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7"/>
          <w:rFonts w:hint="eastAsia" w:ascii="宋体" w:hAnsi="宋体" w:cs="宋体"/>
          <w:i w:val="0"/>
          <w:iCs w:val="0"/>
          <w:caps w:val="0"/>
          <w:color w:val="000000"/>
          <w:spacing w:val="0"/>
          <w:sz w:val="21"/>
          <w:szCs w:val="21"/>
          <w:u w:val="none"/>
          <w:shd w:val="clear" w:fill="FFFFFF"/>
          <w:vertAlign w:val="baseline"/>
          <w:lang w:val="en-US" w:eastAsia="zh-CN"/>
        </w:rPr>
      </w:pPr>
      <w:r>
        <w:rPr>
          <w:rStyle w:val="57"/>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7"/>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7"/>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7"/>
          <w:rFonts w:hint="eastAsia" w:ascii="宋体" w:hAnsi="宋体" w:cs="宋体"/>
          <w:i w:val="0"/>
          <w:iCs w:val="0"/>
          <w:caps w:val="0"/>
          <w:color w:val="000000"/>
          <w:spacing w:val="0"/>
          <w:sz w:val="21"/>
          <w:szCs w:val="21"/>
          <w:u w:val="none"/>
          <w:shd w:val="clear" w:fill="FFFFFF"/>
          <w:vertAlign w:val="baseline"/>
          <w:lang w:val="en-US" w:eastAsia="zh-CN"/>
        </w:rPr>
        <w:t>6、请</w:t>
      </w:r>
      <w:r>
        <w:rPr>
          <w:rStyle w:val="57"/>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7"/>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51597B1C">
      <w:pPr>
        <w:jc w:val="center"/>
        <w:rPr>
          <w:b/>
          <w:bCs/>
          <w:sz w:val="52"/>
        </w:rPr>
      </w:pPr>
    </w:p>
    <w:p w14:paraId="04D2B097">
      <w:pPr>
        <w:jc w:val="center"/>
        <w:rPr>
          <w:b/>
          <w:bCs/>
          <w:sz w:val="52"/>
        </w:rPr>
      </w:pPr>
    </w:p>
    <w:p w14:paraId="21CAEEE7">
      <w:pPr>
        <w:jc w:val="center"/>
        <w:rPr>
          <w:b/>
          <w:bCs/>
          <w:sz w:val="52"/>
        </w:rPr>
      </w:pPr>
    </w:p>
    <w:p w14:paraId="0A736FC4">
      <w:pPr>
        <w:jc w:val="center"/>
        <w:rPr>
          <w:b/>
          <w:bCs/>
          <w:sz w:val="52"/>
        </w:rPr>
      </w:pPr>
    </w:p>
    <w:p w14:paraId="7DED6EDF">
      <w:pPr>
        <w:jc w:val="center"/>
        <w:rPr>
          <w:b/>
          <w:bCs/>
          <w:sz w:val="52"/>
        </w:rPr>
      </w:pPr>
    </w:p>
    <w:p w14:paraId="6BA4836B">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49" w:name="_投标文件格式（第一册）"/>
      <w:bookmarkEnd w:id="49"/>
      <w:bookmarkStart w:id="50"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7"/>
        <w:spacing w:line="400" w:lineRule="exact"/>
        <w:rPr>
          <w:rFonts w:ascii="仿宋" w:hAnsi="仿宋" w:eastAsia="仿宋"/>
        </w:rPr>
      </w:pPr>
      <w:bookmarkStart w:id="51" w:name="_Toc135293179"/>
    </w:p>
    <w:p w14:paraId="3EC095F1">
      <w:pPr>
        <w:pStyle w:val="7"/>
        <w:spacing w:line="400" w:lineRule="exact"/>
        <w:rPr>
          <w:rFonts w:ascii="仿宋" w:hAnsi="仿宋" w:eastAsia="仿宋"/>
        </w:rPr>
      </w:pPr>
      <w:r>
        <w:rPr>
          <w:rFonts w:hint="eastAsia" w:ascii="仿宋" w:hAnsi="仿宋" w:eastAsia="仿宋"/>
        </w:rPr>
        <w:t>投标文件格式</w:t>
      </w:r>
      <w:bookmarkEnd w:id="51"/>
    </w:p>
    <w:bookmarkEnd w:id="50"/>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评标指引表、供应商自查表、供应商基本情况表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2" w:name="_格式1__投标人资格证明文件"/>
      <w:bookmarkEnd w:id="52"/>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7"/>
        <w:spacing w:line="400" w:lineRule="exact"/>
        <w:rPr>
          <w:rFonts w:ascii="仿宋" w:hAnsi="仿宋" w:eastAsia="仿宋"/>
        </w:rPr>
      </w:pPr>
      <w:bookmarkStart w:id="53" w:name="_Toc135293180"/>
      <w:bookmarkStart w:id="54" w:name="_Toc73613640"/>
      <w:r>
        <w:rPr>
          <w:rFonts w:hint="eastAsia" w:ascii="仿宋" w:hAnsi="仿宋" w:eastAsia="仿宋"/>
        </w:rPr>
        <w:t>政府采购违法行为风险知悉确认书</w:t>
      </w:r>
      <w:bookmarkEnd w:id="53"/>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600C24FD">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49CB099E">
      <w:pPr>
        <w:pStyle w:val="7"/>
      </w:pPr>
    </w:p>
    <w:p w14:paraId="3500744B">
      <w:pPr>
        <w:pStyle w:val="7"/>
        <w:spacing w:line="400" w:lineRule="exact"/>
        <w:rPr>
          <w:rFonts w:ascii="仿宋" w:hAnsi="仿宋" w:eastAsia="仿宋"/>
        </w:rPr>
      </w:pPr>
      <w:bookmarkStart w:id="55" w:name="_Toc135293181"/>
      <w:r>
        <w:rPr>
          <w:rFonts w:hint="eastAsia" w:ascii="仿宋" w:hAnsi="仿宋" w:eastAsia="仿宋"/>
        </w:rPr>
        <w:t>评标指引表</w:t>
      </w:r>
      <w:bookmarkEnd w:id="54"/>
      <w:bookmarkEnd w:id="55"/>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9"/>
        <w:spacing w:line="360" w:lineRule="auto"/>
        <w:ind w:firstLine="424" w:firstLineChars="201"/>
        <w:rPr>
          <w:b/>
        </w:rPr>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283C02B">
      <w:pPr>
        <w:pStyle w:val="7"/>
        <w:spacing w:line="400" w:lineRule="exact"/>
        <w:rPr>
          <w:rFonts w:hint="eastAsia" w:ascii="仿宋" w:hAnsi="仿宋" w:eastAsia="仿宋"/>
        </w:rPr>
      </w:pPr>
    </w:p>
    <w:p w14:paraId="4AE25496">
      <w:pPr>
        <w:rPr>
          <w:rFonts w:hint="eastAsia" w:ascii="仿宋" w:hAnsi="仿宋" w:eastAsia="仿宋"/>
          <w:lang w:eastAsia="zh-CN"/>
        </w:rPr>
      </w:pPr>
      <w:r>
        <w:rPr>
          <w:rFonts w:hint="eastAsia" w:ascii="仿宋" w:hAnsi="仿宋" w:eastAsia="仿宋"/>
          <w:lang w:eastAsia="zh-CN"/>
        </w:rPr>
        <w:br w:type="page"/>
      </w:r>
    </w:p>
    <w:p w14:paraId="201F5749">
      <w:pPr>
        <w:pStyle w:val="7"/>
        <w:spacing w:line="400" w:lineRule="exact"/>
        <w:rPr>
          <w:rFonts w:hint="eastAsia" w:ascii="仿宋" w:hAnsi="仿宋" w:eastAsia="仿宋"/>
          <w:lang w:eastAsia="zh-CN"/>
        </w:rPr>
      </w:pPr>
    </w:p>
    <w:p w14:paraId="29ACA760">
      <w:pPr>
        <w:pStyle w:val="7"/>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08F476BC">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1445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7C12B9BA">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01B1DD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4B1C1E00">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F6BECD3">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19AC4387">
            <w:pPr>
              <w:spacing w:line="360" w:lineRule="exact"/>
              <w:jc w:val="center"/>
              <w:rPr>
                <w:rFonts w:ascii="宋体" w:hAnsi="宋体"/>
                <w:szCs w:val="21"/>
              </w:rPr>
            </w:pPr>
            <w:r>
              <w:rPr>
                <w:rFonts w:hint="eastAsia" w:ascii="宋体" w:hAnsi="宋体"/>
                <w:szCs w:val="21"/>
              </w:rPr>
              <w:t>备注</w:t>
            </w:r>
          </w:p>
        </w:tc>
      </w:tr>
      <w:tr w14:paraId="25DE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4F2BC4D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092BB973">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B907B87">
            <w:pPr>
              <w:spacing w:line="360" w:lineRule="exact"/>
              <w:jc w:val="center"/>
              <w:rPr>
                <w:rFonts w:ascii="宋体" w:hAnsi="宋体"/>
                <w:b/>
                <w:szCs w:val="21"/>
              </w:rPr>
            </w:pPr>
          </w:p>
        </w:tc>
        <w:tc>
          <w:tcPr>
            <w:tcW w:w="924" w:type="dxa"/>
            <w:noWrap w:val="0"/>
            <w:vAlign w:val="center"/>
          </w:tcPr>
          <w:p w14:paraId="494C6DFD">
            <w:pPr>
              <w:spacing w:line="360" w:lineRule="exact"/>
              <w:jc w:val="center"/>
              <w:rPr>
                <w:rFonts w:ascii="宋体" w:hAnsi="宋体"/>
                <w:b/>
                <w:szCs w:val="21"/>
              </w:rPr>
            </w:pPr>
          </w:p>
        </w:tc>
      </w:tr>
      <w:tr w14:paraId="493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E0FC371">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74FD51E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76D8BEDF">
            <w:pPr>
              <w:spacing w:line="360" w:lineRule="exact"/>
              <w:jc w:val="center"/>
              <w:rPr>
                <w:rFonts w:ascii="宋体" w:hAnsi="宋体"/>
                <w:b/>
                <w:szCs w:val="21"/>
              </w:rPr>
            </w:pPr>
          </w:p>
        </w:tc>
        <w:tc>
          <w:tcPr>
            <w:tcW w:w="924" w:type="dxa"/>
            <w:noWrap w:val="0"/>
            <w:vAlign w:val="center"/>
          </w:tcPr>
          <w:p w14:paraId="0EA0143E">
            <w:pPr>
              <w:spacing w:line="360" w:lineRule="exact"/>
              <w:jc w:val="center"/>
              <w:rPr>
                <w:rFonts w:ascii="宋体" w:hAnsi="宋体"/>
                <w:b/>
                <w:szCs w:val="21"/>
              </w:rPr>
            </w:pPr>
          </w:p>
        </w:tc>
      </w:tr>
      <w:tr w14:paraId="5D0B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1DEA113A">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5661099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6ACBB5FB">
            <w:pPr>
              <w:spacing w:line="360" w:lineRule="exact"/>
              <w:jc w:val="center"/>
              <w:rPr>
                <w:rFonts w:ascii="宋体" w:hAnsi="宋体"/>
                <w:b/>
                <w:szCs w:val="21"/>
              </w:rPr>
            </w:pPr>
          </w:p>
        </w:tc>
        <w:tc>
          <w:tcPr>
            <w:tcW w:w="924" w:type="dxa"/>
            <w:noWrap w:val="0"/>
            <w:vAlign w:val="center"/>
          </w:tcPr>
          <w:p w14:paraId="3524DF88">
            <w:pPr>
              <w:spacing w:line="360" w:lineRule="exact"/>
              <w:jc w:val="center"/>
              <w:rPr>
                <w:rFonts w:ascii="宋体" w:hAnsi="宋体"/>
                <w:b/>
                <w:szCs w:val="21"/>
              </w:rPr>
            </w:pPr>
          </w:p>
        </w:tc>
      </w:tr>
      <w:tr w14:paraId="1B05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158D01D8">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1592EB1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2102E73D">
            <w:pPr>
              <w:spacing w:line="360" w:lineRule="exact"/>
              <w:jc w:val="center"/>
              <w:rPr>
                <w:rFonts w:ascii="宋体" w:hAnsi="宋体"/>
                <w:b/>
                <w:szCs w:val="21"/>
              </w:rPr>
            </w:pPr>
          </w:p>
        </w:tc>
        <w:tc>
          <w:tcPr>
            <w:tcW w:w="924" w:type="dxa"/>
            <w:noWrap w:val="0"/>
            <w:vAlign w:val="center"/>
          </w:tcPr>
          <w:p w14:paraId="2C43E207">
            <w:pPr>
              <w:spacing w:line="360" w:lineRule="exact"/>
              <w:jc w:val="center"/>
              <w:rPr>
                <w:rFonts w:ascii="宋体" w:hAnsi="宋体"/>
                <w:b/>
                <w:szCs w:val="21"/>
              </w:rPr>
            </w:pPr>
          </w:p>
        </w:tc>
      </w:tr>
      <w:tr w14:paraId="6387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C08E4C5">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633D68A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736A7F3D">
            <w:pPr>
              <w:spacing w:line="360" w:lineRule="exact"/>
              <w:jc w:val="center"/>
              <w:rPr>
                <w:rFonts w:ascii="宋体" w:hAnsi="宋体"/>
                <w:b/>
                <w:szCs w:val="21"/>
              </w:rPr>
            </w:pPr>
          </w:p>
        </w:tc>
        <w:tc>
          <w:tcPr>
            <w:tcW w:w="924" w:type="dxa"/>
            <w:noWrap w:val="0"/>
            <w:vAlign w:val="center"/>
          </w:tcPr>
          <w:p w14:paraId="0472A65C">
            <w:pPr>
              <w:spacing w:line="360" w:lineRule="exact"/>
              <w:jc w:val="center"/>
              <w:rPr>
                <w:rFonts w:ascii="宋体" w:hAnsi="宋体"/>
                <w:b/>
                <w:szCs w:val="21"/>
              </w:rPr>
            </w:pPr>
          </w:p>
        </w:tc>
      </w:tr>
      <w:tr w14:paraId="5F67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38FC6A93">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6480DFA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A66AB87">
            <w:pPr>
              <w:spacing w:line="360" w:lineRule="exact"/>
              <w:jc w:val="center"/>
              <w:rPr>
                <w:rFonts w:ascii="宋体" w:hAnsi="宋体"/>
                <w:b/>
                <w:szCs w:val="21"/>
              </w:rPr>
            </w:pPr>
          </w:p>
        </w:tc>
        <w:tc>
          <w:tcPr>
            <w:tcW w:w="924" w:type="dxa"/>
            <w:noWrap w:val="0"/>
            <w:vAlign w:val="center"/>
          </w:tcPr>
          <w:p w14:paraId="6A858645">
            <w:pPr>
              <w:spacing w:line="360" w:lineRule="exact"/>
              <w:jc w:val="center"/>
              <w:rPr>
                <w:rFonts w:ascii="宋体" w:hAnsi="宋体"/>
                <w:b/>
                <w:szCs w:val="21"/>
              </w:rPr>
            </w:pPr>
          </w:p>
        </w:tc>
      </w:tr>
      <w:tr w14:paraId="582A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72AC8F92">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533F9E5">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B3691FD">
            <w:pPr>
              <w:spacing w:line="360" w:lineRule="exact"/>
              <w:jc w:val="center"/>
              <w:rPr>
                <w:rFonts w:ascii="宋体" w:hAnsi="宋体"/>
                <w:b/>
                <w:szCs w:val="21"/>
              </w:rPr>
            </w:pPr>
          </w:p>
        </w:tc>
        <w:tc>
          <w:tcPr>
            <w:tcW w:w="924" w:type="dxa"/>
            <w:noWrap w:val="0"/>
            <w:vAlign w:val="center"/>
          </w:tcPr>
          <w:p w14:paraId="1935EFDF">
            <w:pPr>
              <w:spacing w:line="360" w:lineRule="exact"/>
              <w:jc w:val="center"/>
              <w:rPr>
                <w:rFonts w:ascii="宋体" w:hAnsi="宋体"/>
                <w:b/>
                <w:szCs w:val="21"/>
              </w:rPr>
            </w:pPr>
          </w:p>
        </w:tc>
      </w:tr>
      <w:tr w14:paraId="4973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D103132">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FC286D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668FBF0">
            <w:pPr>
              <w:spacing w:line="360" w:lineRule="exact"/>
              <w:jc w:val="center"/>
              <w:rPr>
                <w:rFonts w:ascii="宋体" w:hAnsi="宋体"/>
                <w:b/>
                <w:szCs w:val="21"/>
              </w:rPr>
            </w:pPr>
          </w:p>
        </w:tc>
        <w:tc>
          <w:tcPr>
            <w:tcW w:w="924" w:type="dxa"/>
            <w:noWrap w:val="0"/>
            <w:vAlign w:val="center"/>
          </w:tcPr>
          <w:p w14:paraId="0AF12821">
            <w:pPr>
              <w:spacing w:line="360" w:lineRule="exact"/>
              <w:jc w:val="center"/>
              <w:rPr>
                <w:rFonts w:ascii="宋体" w:hAnsi="宋体"/>
                <w:b/>
                <w:szCs w:val="21"/>
              </w:rPr>
            </w:pPr>
          </w:p>
        </w:tc>
      </w:tr>
      <w:tr w14:paraId="5F93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48ADCE10">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161FEF9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5B79AB25">
            <w:pPr>
              <w:spacing w:line="360" w:lineRule="exact"/>
              <w:jc w:val="center"/>
              <w:rPr>
                <w:rFonts w:ascii="宋体" w:hAnsi="宋体"/>
                <w:b/>
                <w:szCs w:val="21"/>
              </w:rPr>
            </w:pPr>
          </w:p>
        </w:tc>
        <w:tc>
          <w:tcPr>
            <w:tcW w:w="924" w:type="dxa"/>
            <w:noWrap w:val="0"/>
            <w:vAlign w:val="center"/>
          </w:tcPr>
          <w:p w14:paraId="4083A563">
            <w:pPr>
              <w:spacing w:line="360" w:lineRule="exact"/>
              <w:jc w:val="center"/>
              <w:rPr>
                <w:rFonts w:ascii="宋体" w:hAnsi="宋体"/>
                <w:b/>
                <w:szCs w:val="21"/>
              </w:rPr>
            </w:pPr>
          </w:p>
        </w:tc>
      </w:tr>
      <w:tr w14:paraId="51A3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B6319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4F98292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1BA186B8">
            <w:pPr>
              <w:spacing w:line="360" w:lineRule="exact"/>
              <w:jc w:val="center"/>
              <w:rPr>
                <w:rFonts w:ascii="宋体" w:hAnsi="宋体"/>
                <w:b/>
                <w:szCs w:val="21"/>
              </w:rPr>
            </w:pPr>
          </w:p>
        </w:tc>
        <w:tc>
          <w:tcPr>
            <w:tcW w:w="924" w:type="dxa"/>
            <w:noWrap w:val="0"/>
            <w:vAlign w:val="center"/>
          </w:tcPr>
          <w:p w14:paraId="44680225">
            <w:pPr>
              <w:spacing w:line="360" w:lineRule="exact"/>
              <w:jc w:val="center"/>
              <w:rPr>
                <w:rFonts w:ascii="宋体" w:hAnsi="宋体"/>
                <w:b/>
                <w:szCs w:val="21"/>
              </w:rPr>
            </w:pPr>
          </w:p>
        </w:tc>
      </w:tr>
      <w:tr w14:paraId="69D2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509EDBA">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C23E1D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6C1AAC6B">
            <w:pPr>
              <w:spacing w:line="360" w:lineRule="exact"/>
              <w:jc w:val="center"/>
              <w:rPr>
                <w:rFonts w:ascii="宋体" w:hAnsi="宋体"/>
                <w:b/>
                <w:szCs w:val="21"/>
              </w:rPr>
            </w:pPr>
          </w:p>
        </w:tc>
        <w:tc>
          <w:tcPr>
            <w:tcW w:w="924" w:type="dxa"/>
            <w:noWrap w:val="0"/>
            <w:vAlign w:val="center"/>
          </w:tcPr>
          <w:p w14:paraId="1850827B">
            <w:pPr>
              <w:spacing w:line="360" w:lineRule="exact"/>
              <w:jc w:val="center"/>
              <w:rPr>
                <w:rFonts w:ascii="宋体" w:hAnsi="宋体"/>
                <w:b/>
                <w:szCs w:val="21"/>
              </w:rPr>
            </w:pPr>
          </w:p>
        </w:tc>
      </w:tr>
      <w:tr w14:paraId="36B9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D083FA6">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08A2D3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320633B9">
            <w:pPr>
              <w:spacing w:line="360" w:lineRule="exact"/>
              <w:jc w:val="center"/>
              <w:rPr>
                <w:rFonts w:ascii="宋体" w:hAnsi="宋体"/>
                <w:b/>
                <w:szCs w:val="21"/>
              </w:rPr>
            </w:pPr>
          </w:p>
        </w:tc>
        <w:tc>
          <w:tcPr>
            <w:tcW w:w="924" w:type="dxa"/>
            <w:noWrap w:val="0"/>
            <w:vAlign w:val="center"/>
          </w:tcPr>
          <w:p w14:paraId="5BB76522">
            <w:pPr>
              <w:spacing w:line="360" w:lineRule="exact"/>
              <w:jc w:val="center"/>
              <w:rPr>
                <w:rFonts w:ascii="宋体" w:hAnsi="宋体"/>
                <w:b/>
                <w:szCs w:val="21"/>
              </w:rPr>
            </w:pPr>
          </w:p>
        </w:tc>
      </w:tr>
      <w:tr w14:paraId="5614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F7A335C">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0688F30B">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53EDCE7">
            <w:pPr>
              <w:spacing w:line="360" w:lineRule="exact"/>
              <w:jc w:val="center"/>
              <w:rPr>
                <w:rFonts w:ascii="宋体" w:hAnsi="宋体"/>
                <w:b/>
                <w:szCs w:val="21"/>
              </w:rPr>
            </w:pPr>
          </w:p>
        </w:tc>
        <w:tc>
          <w:tcPr>
            <w:tcW w:w="924" w:type="dxa"/>
            <w:noWrap w:val="0"/>
            <w:vAlign w:val="center"/>
          </w:tcPr>
          <w:p w14:paraId="167B5895">
            <w:pPr>
              <w:spacing w:line="360" w:lineRule="exact"/>
              <w:jc w:val="center"/>
              <w:rPr>
                <w:rFonts w:ascii="宋体" w:hAnsi="宋体"/>
                <w:b/>
                <w:szCs w:val="21"/>
              </w:rPr>
            </w:pPr>
          </w:p>
        </w:tc>
      </w:tr>
      <w:tr w14:paraId="7F9D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B5B043E">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7918E1B">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4AAE2EDC">
            <w:pPr>
              <w:spacing w:line="360" w:lineRule="exact"/>
              <w:jc w:val="center"/>
              <w:rPr>
                <w:rFonts w:ascii="宋体" w:hAnsi="宋体"/>
                <w:b/>
                <w:szCs w:val="21"/>
              </w:rPr>
            </w:pPr>
          </w:p>
        </w:tc>
        <w:tc>
          <w:tcPr>
            <w:tcW w:w="924" w:type="dxa"/>
            <w:noWrap w:val="0"/>
            <w:vAlign w:val="center"/>
          </w:tcPr>
          <w:p w14:paraId="5CF4FE36">
            <w:pPr>
              <w:spacing w:line="360" w:lineRule="exact"/>
              <w:jc w:val="center"/>
              <w:rPr>
                <w:rFonts w:ascii="宋体" w:hAnsi="宋体"/>
                <w:b/>
                <w:szCs w:val="21"/>
              </w:rPr>
            </w:pPr>
          </w:p>
        </w:tc>
      </w:tr>
      <w:tr w14:paraId="38D4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3E0DEA0">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AD46894">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240D2812">
            <w:pPr>
              <w:spacing w:line="360" w:lineRule="exact"/>
              <w:jc w:val="center"/>
              <w:rPr>
                <w:rFonts w:ascii="宋体" w:hAnsi="宋体"/>
                <w:b/>
                <w:szCs w:val="21"/>
              </w:rPr>
            </w:pPr>
          </w:p>
        </w:tc>
        <w:tc>
          <w:tcPr>
            <w:tcW w:w="924" w:type="dxa"/>
            <w:noWrap w:val="0"/>
            <w:vAlign w:val="center"/>
          </w:tcPr>
          <w:p w14:paraId="58EA0A9F">
            <w:pPr>
              <w:spacing w:line="360" w:lineRule="exact"/>
              <w:jc w:val="center"/>
              <w:rPr>
                <w:rFonts w:ascii="宋体" w:hAnsi="宋体"/>
                <w:b/>
                <w:szCs w:val="21"/>
              </w:rPr>
            </w:pPr>
          </w:p>
        </w:tc>
      </w:tr>
      <w:tr w14:paraId="4518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9B66A6C">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0F0BE596">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3474F06F">
            <w:pPr>
              <w:spacing w:line="360" w:lineRule="exact"/>
              <w:jc w:val="center"/>
              <w:rPr>
                <w:rFonts w:ascii="宋体" w:hAnsi="宋体"/>
                <w:b/>
                <w:szCs w:val="21"/>
              </w:rPr>
            </w:pPr>
          </w:p>
        </w:tc>
        <w:tc>
          <w:tcPr>
            <w:tcW w:w="924" w:type="dxa"/>
            <w:noWrap w:val="0"/>
            <w:vAlign w:val="center"/>
          </w:tcPr>
          <w:p w14:paraId="521560D2">
            <w:pPr>
              <w:spacing w:line="360" w:lineRule="exact"/>
              <w:jc w:val="center"/>
              <w:rPr>
                <w:rFonts w:ascii="宋体" w:hAnsi="宋体"/>
                <w:b/>
                <w:szCs w:val="21"/>
              </w:rPr>
            </w:pPr>
          </w:p>
        </w:tc>
      </w:tr>
      <w:tr w14:paraId="396C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312408CF">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2E66DF0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2B987DD4">
            <w:pPr>
              <w:spacing w:line="360" w:lineRule="exact"/>
              <w:jc w:val="center"/>
              <w:rPr>
                <w:rFonts w:ascii="宋体" w:hAnsi="宋体"/>
                <w:b/>
                <w:szCs w:val="21"/>
              </w:rPr>
            </w:pPr>
          </w:p>
        </w:tc>
        <w:tc>
          <w:tcPr>
            <w:tcW w:w="924" w:type="dxa"/>
            <w:noWrap w:val="0"/>
            <w:vAlign w:val="center"/>
          </w:tcPr>
          <w:p w14:paraId="0BE876D4">
            <w:pPr>
              <w:spacing w:line="360" w:lineRule="exact"/>
              <w:jc w:val="center"/>
              <w:rPr>
                <w:rFonts w:ascii="宋体" w:hAnsi="宋体"/>
                <w:b/>
                <w:szCs w:val="21"/>
              </w:rPr>
            </w:pPr>
          </w:p>
        </w:tc>
      </w:tr>
      <w:tr w14:paraId="6B31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719847A4">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C9DB30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299FEC19">
            <w:pPr>
              <w:spacing w:line="360" w:lineRule="exact"/>
              <w:jc w:val="center"/>
              <w:rPr>
                <w:rFonts w:ascii="宋体" w:hAnsi="宋体"/>
                <w:b/>
                <w:szCs w:val="21"/>
              </w:rPr>
            </w:pPr>
          </w:p>
        </w:tc>
        <w:tc>
          <w:tcPr>
            <w:tcW w:w="924" w:type="dxa"/>
            <w:noWrap w:val="0"/>
            <w:vAlign w:val="center"/>
          </w:tcPr>
          <w:p w14:paraId="5CB07233">
            <w:pPr>
              <w:spacing w:line="360" w:lineRule="exact"/>
              <w:jc w:val="center"/>
              <w:rPr>
                <w:rFonts w:ascii="宋体" w:hAnsi="宋体"/>
                <w:b/>
                <w:szCs w:val="21"/>
              </w:rPr>
            </w:pPr>
          </w:p>
        </w:tc>
      </w:tr>
      <w:tr w14:paraId="69F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1A0D3963">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8053B4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C5E92F0">
            <w:pPr>
              <w:spacing w:line="360" w:lineRule="exact"/>
              <w:jc w:val="center"/>
              <w:rPr>
                <w:rFonts w:ascii="宋体" w:hAnsi="宋体"/>
                <w:b/>
                <w:szCs w:val="21"/>
              </w:rPr>
            </w:pPr>
          </w:p>
        </w:tc>
        <w:tc>
          <w:tcPr>
            <w:tcW w:w="924" w:type="dxa"/>
            <w:noWrap w:val="0"/>
            <w:vAlign w:val="center"/>
          </w:tcPr>
          <w:p w14:paraId="73A0B491">
            <w:pPr>
              <w:spacing w:line="360" w:lineRule="exact"/>
              <w:jc w:val="center"/>
              <w:rPr>
                <w:rFonts w:ascii="宋体" w:hAnsi="宋体"/>
                <w:b/>
                <w:szCs w:val="21"/>
              </w:rPr>
            </w:pPr>
          </w:p>
        </w:tc>
      </w:tr>
      <w:tr w14:paraId="1376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4544AD1C">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485E3AD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318A5E05">
            <w:pPr>
              <w:spacing w:line="360" w:lineRule="exact"/>
              <w:jc w:val="center"/>
              <w:rPr>
                <w:rFonts w:ascii="宋体" w:hAnsi="宋体"/>
                <w:b/>
                <w:szCs w:val="21"/>
              </w:rPr>
            </w:pPr>
          </w:p>
        </w:tc>
        <w:tc>
          <w:tcPr>
            <w:tcW w:w="924" w:type="dxa"/>
            <w:noWrap w:val="0"/>
            <w:vAlign w:val="center"/>
          </w:tcPr>
          <w:p w14:paraId="41AC1003">
            <w:pPr>
              <w:spacing w:line="360" w:lineRule="exact"/>
              <w:jc w:val="center"/>
              <w:rPr>
                <w:rFonts w:ascii="宋体" w:hAnsi="宋体"/>
                <w:b/>
                <w:szCs w:val="21"/>
              </w:rPr>
            </w:pPr>
          </w:p>
        </w:tc>
      </w:tr>
    </w:tbl>
    <w:p w14:paraId="5BF4EC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7"/>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7"/>
        <w:spacing w:line="400" w:lineRule="exact"/>
        <w:jc w:val="center"/>
        <w:rPr>
          <w:rFonts w:hint="eastAsia" w:ascii="仿宋" w:hAnsi="仿宋" w:eastAsia="仿宋"/>
          <w:lang w:eastAsia="zh-CN"/>
        </w:rPr>
      </w:pPr>
    </w:p>
    <w:p w14:paraId="6CA4D675">
      <w:pPr>
        <w:pStyle w:val="7"/>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0D2B8958">
      <w:pPr>
        <w:adjustRightInd w:val="0"/>
        <w:snapToGrid w:val="0"/>
        <w:spacing w:line="360" w:lineRule="auto"/>
        <w:ind w:firstLine="600"/>
        <w:jc w:val="right"/>
        <w:rPr>
          <w:rFonts w:hint="eastAsia"/>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5C8C6A07">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7394B7B">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F9D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29AC69D">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20A32A35">
            <w:pPr>
              <w:jc w:val="center"/>
              <w:rPr>
                <w:rFonts w:hint="eastAsia" w:ascii="宋体" w:hAnsi="宋体" w:eastAsia="宋体" w:cs="宋体"/>
                <w:sz w:val="21"/>
                <w:szCs w:val="21"/>
              </w:rPr>
            </w:pPr>
          </w:p>
        </w:tc>
        <w:tc>
          <w:tcPr>
            <w:tcW w:w="1990" w:type="dxa"/>
            <w:gridSpan w:val="2"/>
            <w:vAlign w:val="top"/>
          </w:tcPr>
          <w:p w14:paraId="0DBFF00B">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BA6CA71">
            <w:pPr>
              <w:jc w:val="center"/>
              <w:rPr>
                <w:rFonts w:hint="eastAsia" w:ascii="宋体" w:hAnsi="宋体" w:eastAsia="宋体" w:cs="宋体"/>
                <w:sz w:val="21"/>
                <w:szCs w:val="21"/>
              </w:rPr>
            </w:pPr>
          </w:p>
        </w:tc>
      </w:tr>
      <w:tr w14:paraId="58B2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5D9549C1">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F7B266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98BE4EA">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06DEAC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3E8A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144DB90">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6F15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38DC073">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457F84C">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0726928">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63FA7E4">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16A8741">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1DA76AC3">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81B3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34897556">
            <w:pPr>
              <w:spacing w:line="252" w:lineRule="auto"/>
              <w:rPr>
                <w:rFonts w:hint="eastAsia" w:ascii="宋体" w:hAnsi="宋体" w:eastAsia="宋体" w:cs="宋体"/>
                <w:sz w:val="21"/>
                <w:szCs w:val="21"/>
              </w:rPr>
            </w:pPr>
          </w:p>
          <w:p w14:paraId="4C295DB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03F5556">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F41C845">
            <w:pPr>
              <w:jc w:val="center"/>
              <w:rPr>
                <w:rFonts w:hint="eastAsia" w:ascii="宋体" w:hAnsi="宋体" w:eastAsia="宋体" w:cs="宋体"/>
                <w:sz w:val="21"/>
                <w:szCs w:val="21"/>
              </w:rPr>
            </w:pPr>
          </w:p>
        </w:tc>
        <w:tc>
          <w:tcPr>
            <w:tcW w:w="1990" w:type="dxa"/>
            <w:gridSpan w:val="2"/>
            <w:vAlign w:val="center"/>
          </w:tcPr>
          <w:p w14:paraId="54E8E395">
            <w:pPr>
              <w:jc w:val="center"/>
              <w:rPr>
                <w:rFonts w:hint="eastAsia" w:ascii="宋体" w:hAnsi="宋体" w:eastAsia="宋体" w:cs="宋体"/>
                <w:sz w:val="21"/>
                <w:szCs w:val="21"/>
              </w:rPr>
            </w:pPr>
          </w:p>
        </w:tc>
        <w:tc>
          <w:tcPr>
            <w:tcW w:w="1499" w:type="dxa"/>
            <w:vAlign w:val="center"/>
          </w:tcPr>
          <w:p w14:paraId="032C1EF6">
            <w:pPr>
              <w:jc w:val="center"/>
              <w:rPr>
                <w:rFonts w:hint="eastAsia" w:ascii="宋体" w:hAnsi="宋体" w:eastAsia="宋体" w:cs="宋体"/>
                <w:sz w:val="21"/>
                <w:szCs w:val="21"/>
              </w:rPr>
            </w:pPr>
          </w:p>
        </w:tc>
        <w:tc>
          <w:tcPr>
            <w:tcW w:w="1489" w:type="dxa"/>
            <w:vAlign w:val="center"/>
          </w:tcPr>
          <w:p w14:paraId="2A369EA5">
            <w:pPr>
              <w:jc w:val="center"/>
              <w:rPr>
                <w:rFonts w:hint="eastAsia" w:ascii="宋体" w:hAnsi="宋体" w:eastAsia="宋体" w:cs="宋体"/>
                <w:sz w:val="21"/>
                <w:szCs w:val="21"/>
              </w:rPr>
            </w:pPr>
          </w:p>
        </w:tc>
      </w:tr>
      <w:tr w14:paraId="4AF9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38439F9">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98F0E57">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234B09F">
            <w:pPr>
              <w:jc w:val="center"/>
              <w:rPr>
                <w:rFonts w:hint="eastAsia" w:ascii="宋体" w:hAnsi="宋体" w:eastAsia="宋体" w:cs="宋体"/>
                <w:sz w:val="21"/>
                <w:szCs w:val="21"/>
              </w:rPr>
            </w:pPr>
          </w:p>
        </w:tc>
        <w:tc>
          <w:tcPr>
            <w:tcW w:w="1990" w:type="dxa"/>
            <w:gridSpan w:val="2"/>
            <w:vAlign w:val="center"/>
          </w:tcPr>
          <w:p w14:paraId="7B0829CB">
            <w:pPr>
              <w:jc w:val="center"/>
              <w:rPr>
                <w:rFonts w:hint="eastAsia" w:ascii="宋体" w:hAnsi="宋体" w:eastAsia="宋体" w:cs="宋体"/>
                <w:sz w:val="21"/>
                <w:szCs w:val="21"/>
              </w:rPr>
            </w:pPr>
          </w:p>
        </w:tc>
        <w:tc>
          <w:tcPr>
            <w:tcW w:w="1499" w:type="dxa"/>
            <w:vAlign w:val="center"/>
          </w:tcPr>
          <w:p w14:paraId="1FE6E7AF">
            <w:pPr>
              <w:jc w:val="center"/>
              <w:rPr>
                <w:rFonts w:hint="eastAsia" w:ascii="宋体" w:hAnsi="宋体" w:eastAsia="宋体" w:cs="宋体"/>
                <w:sz w:val="21"/>
                <w:szCs w:val="21"/>
              </w:rPr>
            </w:pPr>
          </w:p>
        </w:tc>
        <w:tc>
          <w:tcPr>
            <w:tcW w:w="1489" w:type="dxa"/>
            <w:vAlign w:val="center"/>
          </w:tcPr>
          <w:p w14:paraId="73FA2AA5">
            <w:pPr>
              <w:jc w:val="center"/>
              <w:rPr>
                <w:rFonts w:hint="eastAsia" w:ascii="宋体" w:hAnsi="宋体" w:eastAsia="宋体" w:cs="宋体"/>
                <w:sz w:val="21"/>
                <w:szCs w:val="21"/>
              </w:rPr>
            </w:pPr>
          </w:p>
        </w:tc>
      </w:tr>
      <w:tr w14:paraId="2487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B491331">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519EC00">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AF73F14">
            <w:pPr>
              <w:jc w:val="center"/>
              <w:rPr>
                <w:rFonts w:hint="eastAsia" w:ascii="宋体" w:hAnsi="宋体" w:eastAsia="宋体" w:cs="宋体"/>
                <w:sz w:val="21"/>
                <w:szCs w:val="21"/>
              </w:rPr>
            </w:pPr>
          </w:p>
        </w:tc>
        <w:tc>
          <w:tcPr>
            <w:tcW w:w="1990" w:type="dxa"/>
            <w:gridSpan w:val="2"/>
            <w:vAlign w:val="center"/>
          </w:tcPr>
          <w:p w14:paraId="0BB22E0F">
            <w:pPr>
              <w:jc w:val="center"/>
              <w:rPr>
                <w:rFonts w:hint="eastAsia" w:ascii="宋体" w:hAnsi="宋体" w:eastAsia="宋体" w:cs="宋体"/>
                <w:sz w:val="21"/>
                <w:szCs w:val="21"/>
              </w:rPr>
            </w:pPr>
          </w:p>
        </w:tc>
        <w:tc>
          <w:tcPr>
            <w:tcW w:w="1499" w:type="dxa"/>
            <w:vAlign w:val="center"/>
          </w:tcPr>
          <w:p w14:paraId="53191FE7">
            <w:pPr>
              <w:jc w:val="center"/>
              <w:rPr>
                <w:rFonts w:hint="eastAsia" w:ascii="宋体" w:hAnsi="宋体" w:eastAsia="宋体" w:cs="宋体"/>
                <w:sz w:val="21"/>
                <w:szCs w:val="21"/>
              </w:rPr>
            </w:pPr>
          </w:p>
        </w:tc>
        <w:tc>
          <w:tcPr>
            <w:tcW w:w="1489" w:type="dxa"/>
            <w:vAlign w:val="center"/>
          </w:tcPr>
          <w:p w14:paraId="122CEE51">
            <w:pPr>
              <w:jc w:val="center"/>
              <w:rPr>
                <w:rFonts w:hint="eastAsia" w:ascii="宋体" w:hAnsi="宋体" w:eastAsia="宋体" w:cs="宋体"/>
                <w:sz w:val="21"/>
                <w:szCs w:val="21"/>
              </w:rPr>
            </w:pPr>
          </w:p>
        </w:tc>
      </w:tr>
      <w:tr w14:paraId="36C5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996F396">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566D2AF0">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24A985F6">
            <w:pPr>
              <w:jc w:val="center"/>
              <w:rPr>
                <w:rFonts w:hint="eastAsia" w:ascii="宋体" w:hAnsi="宋体" w:eastAsia="宋体" w:cs="宋体"/>
                <w:sz w:val="21"/>
                <w:szCs w:val="21"/>
              </w:rPr>
            </w:pPr>
          </w:p>
        </w:tc>
        <w:tc>
          <w:tcPr>
            <w:tcW w:w="1990" w:type="dxa"/>
            <w:gridSpan w:val="2"/>
            <w:vAlign w:val="center"/>
          </w:tcPr>
          <w:p w14:paraId="4A0894AD">
            <w:pPr>
              <w:jc w:val="center"/>
              <w:rPr>
                <w:rFonts w:hint="eastAsia" w:ascii="宋体" w:hAnsi="宋体" w:eastAsia="宋体" w:cs="宋体"/>
                <w:sz w:val="21"/>
                <w:szCs w:val="21"/>
              </w:rPr>
            </w:pPr>
          </w:p>
        </w:tc>
        <w:tc>
          <w:tcPr>
            <w:tcW w:w="1499" w:type="dxa"/>
            <w:vAlign w:val="center"/>
          </w:tcPr>
          <w:p w14:paraId="49D334FE">
            <w:pPr>
              <w:jc w:val="center"/>
              <w:rPr>
                <w:rFonts w:hint="eastAsia" w:ascii="宋体" w:hAnsi="宋体" w:eastAsia="宋体" w:cs="宋体"/>
                <w:sz w:val="21"/>
                <w:szCs w:val="21"/>
              </w:rPr>
            </w:pPr>
          </w:p>
        </w:tc>
        <w:tc>
          <w:tcPr>
            <w:tcW w:w="1489" w:type="dxa"/>
            <w:vAlign w:val="center"/>
          </w:tcPr>
          <w:p w14:paraId="5722D8A4">
            <w:pPr>
              <w:jc w:val="center"/>
              <w:rPr>
                <w:rFonts w:hint="eastAsia" w:ascii="宋体" w:hAnsi="宋体" w:eastAsia="宋体" w:cs="宋体"/>
                <w:sz w:val="21"/>
                <w:szCs w:val="21"/>
              </w:rPr>
            </w:pPr>
          </w:p>
        </w:tc>
      </w:tr>
      <w:tr w14:paraId="619B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BE92A88">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62ECCFC6">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0404C03">
            <w:pPr>
              <w:jc w:val="center"/>
              <w:rPr>
                <w:rFonts w:hint="eastAsia" w:ascii="宋体" w:hAnsi="宋体" w:eastAsia="宋体" w:cs="宋体"/>
                <w:sz w:val="21"/>
                <w:szCs w:val="21"/>
              </w:rPr>
            </w:pPr>
          </w:p>
        </w:tc>
        <w:tc>
          <w:tcPr>
            <w:tcW w:w="1990" w:type="dxa"/>
            <w:gridSpan w:val="2"/>
            <w:vAlign w:val="center"/>
          </w:tcPr>
          <w:p w14:paraId="62DF85BA">
            <w:pPr>
              <w:jc w:val="center"/>
              <w:rPr>
                <w:rFonts w:hint="eastAsia" w:ascii="宋体" w:hAnsi="宋体" w:eastAsia="宋体" w:cs="宋体"/>
                <w:sz w:val="21"/>
                <w:szCs w:val="21"/>
              </w:rPr>
            </w:pPr>
          </w:p>
        </w:tc>
        <w:tc>
          <w:tcPr>
            <w:tcW w:w="1499" w:type="dxa"/>
            <w:vAlign w:val="center"/>
          </w:tcPr>
          <w:p w14:paraId="01368D62">
            <w:pPr>
              <w:jc w:val="center"/>
              <w:rPr>
                <w:rFonts w:hint="eastAsia" w:ascii="宋体" w:hAnsi="宋体" w:eastAsia="宋体" w:cs="宋体"/>
                <w:sz w:val="21"/>
                <w:szCs w:val="21"/>
              </w:rPr>
            </w:pPr>
          </w:p>
        </w:tc>
        <w:tc>
          <w:tcPr>
            <w:tcW w:w="1489" w:type="dxa"/>
            <w:vAlign w:val="center"/>
          </w:tcPr>
          <w:p w14:paraId="5142AA22">
            <w:pPr>
              <w:jc w:val="center"/>
              <w:rPr>
                <w:rFonts w:hint="eastAsia" w:ascii="宋体" w:hAnsi="宋体" w:eastAsia="宋体" w:cs="宋体"/>
                <w:sz w:val="21"/>
                <w:szCs w:val="21"/>
              </w:rPr>
            </w:pPr>
          </w:p>
        </w:tc>
      </w:tr>
      <w:tr w14:paraId="4651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49BFD52">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4CDA677">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5A3B54B4">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653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E3E7BEB">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EF0B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1B99E63">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2216C70">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29C6205B">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603AAA9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D56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21223747">
            <w:pPr>
              <w:spacing w:line="290" w:lineRule="auto"/>
              <w:rPr>
                <w:rFonts w:hint="eastAsia" w:ascii="宋体" w:hAnsi="宋体" w:eastAsia="宋体" w:cs="宋体"/>
                <w:sz w:val="21"/>
                <w:szCs w:val="21"/>
              </w:rPr>
            </w:pPr>
          </w:p>
          <w:p w14:paraId="46583A9E">
            <w:pPr>
              <w:spacing w:line="290" w:lineRule="auto"/>
              <w:rPr>
                <w:rFonts w:hint="eastAsia" w:ascii="宋体" w:hAnsi="宋体" w:eastAsia="宋体" w:cs="宋体"/>
                <w:sz w:val="21"/>
                <w:szCs w:val="21"/>
              </w:rPr>
            </w:pPr>
          </w:p>
          <w:p w14:paraId="2BA0AEA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E531F71">
            <w:pPr>
              <w:spacing w:line="274" w:lineRule="auto"/>
              <w:rPr>
                <w:rFonts w:hint="eastAsia" w:ascii="宋体" w:hAnsi="宋体" w:eastAsia="宋体" w:cs="宋体"/>
                <w:sz w:val="21"/>
                <w:szCs w:val="21"/>
              </w:rPr>
            </w:pPr>
          </w:p>
          <w:p w14:paraId="7B93382C">
            <w:pPr>
              <w:spacing w:line="274" w:lineRule="auto"/>
              <w:rPr>
                <w:rFonts w:hint="eastAsia" w:ascii="宋体" w:hAnsi="宋体" w:eastAsia="宋体" w:cs="宋体"/>
                <w:sz w:val="21"/>
                <w:szCs w:val="21"/>
              </w:rPr>
            </w:pPr>
          </w:p>
          <w:p w14:paraId="76B338C5">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48A025A">
            <w:pPr>
              <w:jc w:val="center"/>
              <w:rPr>
                <w:rFonts w:hint="eastAsia" w:ascii="宋体" w:hAnsi="宋体" w:eastAsia="宋体" w:cs="宋体"/>
                <w:sz w:val="21"/>
                <w:szCs w:val="21"/>
              </w:rPr>
            </w:pPr>
          </w:p>
        </w:tc>
        <w:tc>
          <w:tcPr>
            <w:tcW w:w="4187" w:type="dxa"/>
            <w:gridSpan w:val="3"/>
            <w:vAlign w:val="center"/>
          </w:tcPr>
          <w:p w14:paraId="1040C74C">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CE0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93BD9B8">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14D0798">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3375D88">
            <w:pPr>
              <w:jc w:val="center"/>
              <w:rPr>
                <w:rFonts w:hint="eastAsia" w:ascii="宋体" w:hAnsi="宋体" w:eastAsia="宋体" w:cs="宋体"/>
                <w:sz w:val="21"/>
                <w:szCs w:val="21"/>
              </w:rPr>
            </w:pPr>
          </w:p>
        </w:tc>
        <w:tc>
          <w:tcPr>
            <w:tcW w:w="4187" w:type="dxa"/>
            <w:gridSpan w:val="3"/>
            <w:vAlign w:val="top"/>
          </w:tcPr>
          <w:p w14:paraId="291E2D1A">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05C0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749C22EA">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B3A4CEA">
      <w:pPr>
        <w:spacing w:line="360" w:lineRule="auto"/>
        <w:rPr>
          <w:rFonts w:ascii="宋体" w:hAnsi="宋体" w:cs="宋体"/>
          <w:b/>
          <w:bCs/>
        </w:rPr>
      </w:pPr>
      <w:r>
        <w:rPr>
          <w:rFonts w:hint="eastAsia" w:ascii="宋体" w:hAnsi="宋体" w:cs="宋体"/>
          <w:b/>
          <w:bCs/>
        </w:rPr>
        <w:t>填报要求：</w:t>
      </w:r>
    </w:p>
    <w:p w14:paraId="6BB4668F">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20EC4E0A">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29E1379D">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6ABDD59A">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67F01B0">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9D33073">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E33255F">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0B13DF78">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CD7F3E2">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11"/>
        <w:rPr>
          <w:rFonts w:hint="eastAsia" w:ascii="宋体" w:hAnsi="宋体" w:cs="宋体"/>
          <w:b/>
          <w:bCs/>
          <w:color w:val="FF0000"/>
          <w:sz w:val="21"/>
          <w:szCs w:val="21"/>
          <w:lang w:eastAsia="zh-CN"/>
        </w:rPr>
      </w:pPr>
    </w:p>
    <w:p w14:paraId="06D4D0CF">
      <w:pPr>
        <w:pStyle w:val="11"/>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6"/>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4F8ABBB">
      <w:pPr>
        <w:adjustRightInd w:val="0"/>
        <w:snapToGrid w:val="0"/>
        <w:spacing w:line="360" w:lineRule="auto"/>
        <w:ind w:firstLine="600"/>
        <w:jc w:val="right"/>
        <w:rPr>
          <w:rFonts w:hint="eastAsia"/>
        </w:rPr>
      </w:pPr>
    </w:p>
    <w:p w14:paraId="68F59406"/>
    <w:p w14:paraId="7D5D30F2">
      <w:pPr>
        <w:pStyle w:val="6"/>
        <w:tabs>
          <w:tab w:val="left" w:pos="371"/>
        </w:tabs>
        <w:spacing w:before="120" w:after="120"/>
        <w:ind w:left="-1" w:leftChars="-1" w:hanging="1"/>
        <w:jc w:val="center"/>
        <w:rPr>
          <w:rFonts w:asciiTheme="minorEastAsia" w:hAnsiTheme="minorEastAsia" w:eastAsiaTheme="minorEastAsia"/>
        </w:rPr>
      </w:pPr>
      <w:bookmarkStart w:id="56" w:name="_Toc135293182"/>
      <w:bookmarkStart w:id="57" w:name="_Toc44690705"/>
      <w:bookmarkStart w:id="58" w:name="_Toc44691164"/>
      <w:bookmarkStart w:id="59" w:name="_Toc44691396"/>
      <w:bookmarkStart w:id="60" w:name="_Toc4469043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647E84B2">
      <w:pPr>
        <w:pStyle w:val="6"/>
        <w:tabs>
          <w:tab w:val="left" w:pos="371"/>
        </w:tabs>
        <w:spacing w:before="120" w:after="120"/>
        <w:ind w:left="-1" w:leftChars="-1" w:hanging="1"/>
        <w:jc w:val="center"/>
        <w:rPr>
          <w:rFonts w:asciiTheme="minorEastAsia" w:hAnsiTheme="minorEastAsia" w:eastAsiaTheme="minorEastAsia"/>
        </w:rPr>
      </w:pPr>
    </w:p>
    <w:p w14:paraId="04A32C66">
      <w:pPr>
        <w:pStyle w:val="6"/>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6"/>
      <w:bookmarkEnd w:id="57"/>
      <w:bookmarkEnd w:id="58"/>
      <w:bookmarkEnd w:id="59"/>
      <w:bookmarkEnd w:id="60"/>
    </w:p>
    <w:p w14:paraId="5D46A064">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3EF734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3B086849">
      <w:pPr>
        <w:adjustRightInd w:val="0"/>
        <w:spacing w:line="300" w:lineRule="auto"/>
        <w:ind w:hanging="2"/>
        <w:jc w:val="center"/>
      </w:pPr>
      <w:r>
        <w:rPr>
          <w:rFonts w:hint="eastAsia"/>
          <w:b/>
          <w:snapToGrid w:val="0"/>
          <w:kern w:val="0"/>
          <w:sz w:val="28"/>
        </w:rPr>
        <w:t>政府采购投标及履约承诺函</w:t>
      </w:r>
    </w:p>
    <w:p w14:paraId="2DC4BCBE">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2B1D883">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534A607">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6745F16E">
      <w:pPr>
        <w:spacing w:line="400" w:lineRule="exact"/>
        <w:ind w:firstLine="420" w:firstLineChars="200"/>
        <w:rPr>
          <w:rFonts w:ascii="宋体" w:hAnsi="宋体"/>
          <w:szCs w:val="21"/>
        </w:rPr>
      </w:pPr>
      <w:r>
        <w:rPr>
          <w:rFonts w:hint="eastAsia" w:ascii="宋体" w:hAnsi="宋体"/>
          <w:szCs w:val="21"/>
        </w:rPr>
        <w:t>（一）具有独立承担民事责任的能力；</w:t>
      </w:r>
    </w:p>
    <w:p w14:paraId="52B9D529">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195F17B">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E766FF1">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815E9E0">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8146642">
      <w:pPr>
        <w:spacing w:line="400" w:lineRule="exact"/>
        <w:ind w:firstLine="420" w:firstLineChars="200"/>
        <w:rPr>
          <w:rFonts w:ascii="宋体" w:hAnsi="宋体"/>
          <w:szCs w:val="21"/>
        </w:rPr>
      </w:pPr>
      <w:r>
        <w:rPr>
          <w:rFonts w:hint="eastAsia" w:ascii="宋体" w:hAnsi="宋体"/>
          <w:szCs w:val="21"/>
        </w:rPr>
        <w:t>（六）法律、行政法规规定的其他条件。</w:t>
      </w:r>
    </w:p>
    <w:p w14:paraId="3CC10FD8">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21735D86">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66A9EBDF">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3BF81DF0">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2AF75B91">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0CED9FBE">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E070AB2">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48B88551">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780AAA34">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D8317A4">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66BB00E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98145D9">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6AFA953D">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2BEA0C9">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FEC59B">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67B6DCA">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47EF0B97">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642A5137">
      <w:pPr>
        <w:spacing w:line="360" w:lineRule="auto"/>
        <w:ind w:firstLine="600"/>
        <w:rPr>
          <w:rFonts w:cs="Courier New"/>
          <w:snapToGrid w:val="0"/>
          <w:szCs w:val="18"/>
        </w:rPr>
      </w:pPr>
    </w:p>
    <w:p w14:paraId="7001C67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6F3CDB3">
      <w:pPr>
        <w:adjustRightInd w:val="0"/>
        <w:snapToGrid w:val="0"/>
        <w:spacing w:line="300" w:lineRule="auto"/>
        <w:rPr>
          <w:snapToGrid w:val="0"/>
          <w:kern w:val="0"/>
        </w:rPr>
      </w:pPr>
    </w:p>
    <w:p w14:paraId="5BBCBE03">
      <w:pPr>
        <w:adjustRightInd w:val="0"/>
        <w:snapToGrid w:val="0"/>
        <w:spacing w:line="300" w:lineRule="auto"/>
        <w:ind w:right="420"/>
        <w:rPr>
          <w:snapToGrid w:val="0"/>
          <w:kern w:val="0"/>
        </w:rPr>
      </w:pPr>
    </w:p>
    <w:p w14:paraId="56262D96">
      <w:pPr>
        <w:adjustRightInd w:val="0"/>
        <w:snapToGrid w:val="0"/>
        <w:spacing w:line="360" w:lineRule="auto"/>
        <w:ind w:firstLine="600"/>
        <w:jc w:val="right"/>
      </w:pPr>
      <w:r>
        <w:rPr>
          <w:rFonts w:hint="eastAsia"/>
        </w:rPr>
        <w:t>年     月    日</w:t>
      </w:r>
    </w:p>
    <w:p w14:paraId="4C050DE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2B18764F">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1D54C7AF">
      <w:pPr>
        <w:spacing w:line="400" w:lineRule="exact"/>
        <w:ind w:firstLine="420" w:firstLineChars="200"/>
        <w:rPr>
          <w:rFonts w:hint="eastAsia" w:ascii="宋体" w:hAnsi="宋体" w:eastAsia="宋体" w:cs="Times New Roman"/>
          <w:szCs w:val="21"/>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3AB52395">
      <w:pPr>
        <w:adjustRightInd w:val="0"/>
        <w:snapToGrid w:val="0"/>
        <w:spacing w:line="300" w:lineRule="auto"/>
        <w:jc w:val="right"/>
        <w:rPr>
          <w:snapToGrid w:val="0"/>
          <w:kern w:val="0"/>
        </w:rPr>
      </w:pPr>
    </w:p>
    <w:p w14:paraId="0608B700">
      <w:pPr>
        <w:pStyle w:val="6"/>
        <w:tabs>
          <w:tab w:val="left" w:pos="371"/>
        </w:tabs>
        <w:spacing w:before="120" w:after="120"/>
        <w:ind w:left="-1" w:leftChars="-1" w:hanging="1"/>
        <w:jc w:val="center"/>
        <w:rPr>
          <w:rFonts w:asciiTheme="minorEastAsia" w:hAnsiTheme="minorEastAsia" w:eastAsiaTheme="minorEastAsia"/>
          <w:snapToGrid w:val="0"/>
          <w:kern w:val="0"/>
        </w:rPr>
      </w:pPr>
      <w:bookmarkStart w:id="61" w:name="_Toc135293183"/>
      <w:r>
        <w:rPr>
          <w:rFonts w:hint="eastAsia" w:asciiTheme="minorEastAsia" w:hAnsiTheme="minorEastAsia" w:eastAsiaTheme="minorEastAsia"/>
        </w:rPr>
        <w:t>格式2  法定代表人（负责人）证明书及授权委托书</w:t>
      </w:r>
      <w:bookmarkEnd w:id="61"/>
    </w:p>
    <w:p w14:paraId="0C3A8A06">
      <w:pPr>
        <w:widowControl/>
        <w:jc w:val="center"/>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BB1E74F">
      <w:r>
        <w:br w:type="page"/>
      </w:r>
    </w:p>
    <w:p w14:paraId="1366A0F5"/>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124AA25C">
      <w:pPr>
        <w:spacing w:line="360" w:lineRule="auto"/>
        <w:ind w:firstLine="539" w:firstLineChars="257"/>
      </w:pPr>
    </w:p>
    <w:p w14:paraId="0800E14B">
      <w:pPr>
        <w:spacing w:line="360" w:lineRule="auto"/>
        <w:ind w:firstLine="539" w:firstLineChars="257"/>
      </w:pPr>
      <w:r>
        <w:rPr>
          <w:rFonts w:hint="eastAsia"/>
        </w:rPr>
        <w:t>单位名称：（公章）</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1E37CE54">
      <w:pPr>
        <w:ind w:firstLine="2249" w:firstLineChars="800"/>
        <w:rPr>
          <w:b/>
          <w:bCs/>
          <w:sz w:val="28"/>
        </w:rPr>
      </w:pPr>
    </w:p>
    <w:p w14:paraId="625B5682">
      <w:pPr>
        <w:jc w:val="center"/>
        <w:rPr>
          <w:rFonts w:hint="eastAsia"/>
          <w:b/>
          <w:bCs/>
          <w:sz w:val="28"/>
        </w:rPr>
      </w:pPr>
    </w:p>
    <w:p w14:paraId="2AFF775C">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w:t>
      </w:r>
      <w:r>
        <w:rPr>
          <w:rFonts w:hint="eastAsia"/>
          <w:u w:val="single"/>
          <w:lang w:eastAsia="zh-CN"/>
        </w:rPr>
        <w:t>征集</w:t>
      </w:r>
      <w:r>
        <w:rPr>
          <w:rFonts w:hint="eastAsia"/>
          <w:u w:val="single"/>
        </w:rPr>
        <w:t xml:space="preserve">项目名称、编号） </w:t>
      </w:r>
      <w:r>
        <w:rPr>
          <w:rFonts w:hint="eastAsia"/>
          <w:lang w:eastAsia="zh-CN"/>
        </w:rPr>
        <w:t>征集</w:t>
      </w:r>
      <w:r>
        <w:rPr>
          <w:rFonts w:hint="eastAsia"/>
        </w:rPr>
        <w:t>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3621CEC9">
      <w:pPr>
        <w:adjustRightInd w:val="0"/>
        <w:snapToGrid w:val="0"/>
        <w:spacing w:line="360" w:lineRule="auto"/>
        <w:ind w:firstLine="629"/>
      </w:pPr>
      <w:r>
        <w:rPr>
          <w:rFonts w:hint="eastAsia"/>
        </w:rPr>
        <w:t>电话：</w:t>
      </w:r>
    </w:p>
    <w:p w14:paraId="3A3306BC">
      <w:pPr>
        <w:ind w:firstLine="630"/>
      </w:pPr>
      <w:r>
        <w:rPr>
          <w:rFonts w:hint="eastAsia"/>
        </w:rPr>
        <w:t>单位名称：（公章）</w:t>
      </w:r>
    </w:p>
    <w:p w14:paraId="7C2D8CF3">
      <w:pPr>
        <w:ind w:firstLine="630"/>
      </w:pPr>
    </w:p>
    <w:p w14:paraId="4902E904">
      <w:pPr>
        <w:ind w:firstLine="630"/>
      </w:pPr>
      <w:r>
        <w:rPr>
          <w:rFonts w:hint="eastAsia"/>
        </w:rPr>
        <w:t>法定代表人（负责人）：（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2"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2"/>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7A7423FD">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478C8DBA">
      <w:pPr>
        <w:adjustRightInd w:val="0"/>
        <w:snapToGrid w:val="0"/>
        <w:spacing w:line="300" w:lineRule="auto"/>
      </w:pP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6"/>
        <w:tabs>
          <w:tab w:val="left" w:pos="371"/>
        </w:tabs>
        <w:spacing w:before="120" w:after="120"/>
        <w:ind w:left="-1" w:leftChars="-1" w:hanging="1"/>
        <w:jc w:val="center"/>
        <w:rPr>
          <w:rFonts w:asciiTheme="minorEastAsia" w:hAnsiTheme="minorEastAsia" w:eastAsiaTheme="minorEastAsia"/>
        </w:rPr>
      </w:pPr>
      <w:bookmarkStart w:id="63"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3"/>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w:t>
      </w:r>
      <w:r>
        <w:rPr>
          <w:rFonts w:hint="eastAsia" w:asciiTheme="minorEastAsia" w:hAnsiTheme="minorEastAsia" w:eastAsiaTheme="minorEastAsia"/>
          <w:u w:val="single"/>
          <w:lang w:eastAsia="zh-CN"/>
        </w:rPr>
        <w:t>征集</w:t>
      </w:r>
      <w:r>
        <w:rPr>
          <w:rFonts w:asciiTheme="minorEastAsia" w:hAnsiTheme="minorEastAsia" w:eastAsiaTheme="minorEastAsia"/>
          <w:u w:val="single"/>
        </w:rPr>
        <w:t xml:space="preserve">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hint="eastAsia" w:asciiTheme="minorEastAsia" w:hAnsiTheme="minorEastAsia" w:eastAsiaTheme="minorEastAsia"/>
          <w:lang w:eastAsia="zh-CN"/>
        </w:rPr>
        <w:t>征集</w:t>
      </w:r>
      <w:r>
        <w:rPr>
          <w:rFonts w:asciiTheme="minorEastAsia" w:hAnsiTheme="minorEastAsia" w:eastAsiaTheme="minorEastAsia"/>
        </w:rPr>
        <w:t>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w:t>
      </w:r>
      <w:r>
        <w:rPr>
          <w:rFonts w:hint="eastAsia" w:cs="Courier New" w:asciiTheme="minorEastAsia" w:hAnsiTheme="minorEastAsia" w:eastAsiaTheme="minorEastAsia"/>
          <w:snapToGrid w:val="0"/>
          <w:szCs w:val="18"/>
          <w:lang w:eastAsia="zh-CN"/>
        </w:rPr>
        <w:t>征集</w:t>
      </w:r>
      <w:r>
        <w:rPr>
          <w:rFonts w:hint="eastAsia" w:cs="Courier New" w:asciiTheme="minorEastAsia" w:hAnsiTheme="minorEastAsia" w:eastAsiaTheme="minorEastAsia"/>
          <w:snapToGrid w:val="0"/>
          <w:szCs w:val="18"/>
        </w:rPr>
        <w:t>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6"/>
        <w:tabs>
          <w:tab w:val="left" w:pos="371"/>
        </w:tabs>
        <w:spacing w:before="120" w:after="120"/>
        <w:ind w:left="-1" w:leftChars="-1" w:hanging="1"/>
        <w:jc w:val="center"/>
        <w:rPr>
          <w:rFonts w:hint="eastAsia" w:asciiTheme="minorEastAsia" w:hAnsiTheme="minorEastAsia" w:eastAsiaTheme="minorEastAsia"/>
          <w:lang w:eastAsia="zh-CN"/>
        </w:rPr>
      </w:pPr>
      <w:bookmarkStart w:id="64" w:name="_Toc135293185"/>
      <w:r>
        <w:rPr>
          <w:rFonts w:hint="eastAsia" w:asciiTheme="minorEastAsia" w:hAnsiTheme="minorEastAsia" w:eastAsiaTheme="minorEastAsia"/>
        </w:rPr>
        <w:t xml:space="preserve">格式4  </w:t>
      </w:r>
      <w:bookmarkEnd w:id="64"/>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5" w:name="_Hlk71925120"/>
      <w:r>
        <w:rPr>
          <w:rFonts w:hint="eastAsia" w:asciiTheme="minorEastAsia" w:hAnsiTheme="minorEastAsia" w:eastAsiaTheme="minorEastAsia"/>
          <w:kern w:val="0"/>
          <w:szCs w:val="21"/>
        </w:rPr>
        <w:t>《关于印发中小企业划型标准规定的通知》（工信部联企业〔2011〕300 号</w:t>
      </w:r>
      <w:bookmarkEnd w:id="65"/>
      <w:r>
        <w:rPr>
          <w:rFonts w:hint="eastAsia" w:asciiTheme="minorEastAsia" w:hAnsiTheme="minorEastAsia" w:eastAsiaTheme="minorEastAsia"/>
          <w:kern w:val="0"/>
          <w:szCs w:val="21"/>
        </w:rPr>
        <w:t>）</w:t>
      </w:r>
    </w:p>
    <w:p w14:paraId="5C999ED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0D7EC80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141D9D9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3F63CC7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23A1803B">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1EA11093">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441875C3">
      <w:pPr>
        <w:widowControl/>
        <w:snapToGrid w:val="0"/>
        <w:spacing w:line="360" w:lineRule="auto"/>
        <w:ind w:firstLine="424" w:firstLineChars="202"/>
        <w:jc w:val="left"/>
        <w:rPr>
          <w:rFonts w:asciiTheme="minorHAnsi" w:hAnsiTheme="minorHAnsi" w:eastAsiaTheme="minorEastAsia" w:cstheme="minorBidi"/>
          <w:szCs w:val="22"/>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8"/>
        <w:tabs>
          <w:tab w:val="left" w:pos="0"/>
        </w:tabs>
        <w:jc w:val="center"/>
        <w:rPr>
          <w:rFonts w:ascii="宋体" w:hAnsi="宋体" w:eastAsia="宋体"/>
        </w:rPr>
      </w:pPr>
      <w:r>
        <w:rPr>
          <w:rFonts w:hint="eastAsia" w:ascii="宋体" w:hAnsi="宋体" w:eastAsia="宋体"/>
        </w:rPr>
        <w:t>中小企业声明函</w:t>
      </w:r>
    </w:p>
    <w:p w14:paraId="26132446">
      <w:pPr>
        <w:pStyle w:val="1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1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1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11"/>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1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1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06916A9D">
      <w:pPr>
        <w:pStyle w:val="1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9EA8B9B">
      <w:pPr>
        <w:spacing w:line="360" w:lineRule="auto"/>
        <w:ind w:firstLine="420" w:firstLineChars="200"/>
        <w:rPr>
          <w:rFonts w:asciiTheme="minorEastAsia" w:hAnsiTheme="minorEastAsia" w:eastAsiaTheme="minorEastAsia"/>
          <w:szCs w:val="21"/>
        </w:rPr>
      </w:pP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8"/>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8"/>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6" w:name="_Toc44690433"/>
      <w:bookmarkStart w:id="67" w:name="_Toc135293186"/>
      <w:bookmarkStart w:id="68" w:name="_Toc44691397"/>
      <w:bookmarkStart w:id="69" w:name="_Toc44690706"/>
      <w:bookmarkStart w:id="70"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327009C4">
      <w:pPr>
        <w:widowControl/>
        <w:jc w:val="left"/>
      </w:pPr>
    </w:p>
    <w:p w14:paraId="6524D8E8">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4"/>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7"/>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7"/>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7"/>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7"/>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7"/>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7"/>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7"/>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06BA7A2F">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宋体" w:hAnsi="宋体" w:eastAsia="宋体" w:cs="宋体"/>
          <w:b/>
          <w:bCs/>
          <w:i w:val="0"/>
          <w:iCs w:val="0"/>
          <w:caps w:val="0"/>
          <w:color w:val="000000"/>
          <w:spacing w:val="0"/>
          <w:sz w:val="21"/>
          <w:szCs w:val="21"/>
          <w:u w:val="none"/>
          <w:shd w:val="clear" w:fill="FFFFFF"/>
          <w:vertAlign w:val="baseline"/>
        </w:rPr>
        <w:br w:type="page"/>
      </w:r>
    </w:p>
    <w:p w14:paraId="2D5B2974"/>
    <w:p w14:paraId="7A764FCC">
      <w:pPr>
        <w:pStyle w:val="6"/>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6"/>
      <w:bookmarkEnd w:id="67"/>
      <w:bookmarkEnd w:id="68"/>
      <w:bookmarkEnd w:id="69"/>
      <w:bookmarkEnd w:id="70"/>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29条奥林巴斯消化内镜维保服务</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024E0E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0CF4B2F1">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66210433">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sz w:val="28"/>
        </w:rPr>
      </w:pPr>
      <w:r>
        <w:rPr>
          <w:rFonts w:hint="eastAsia" w:ascii="宋体" w:hAnsi="宋体"/>
          <w:szCs w:val="21"/>
          <w:lang w:val="en-US" w:eastAsia="zh-CN"/>
        </w:rPr>
        <w:t>3</w:t>
      </w:r>
      <w:r>
        <w:rPr>
          <w:rFonts w:hint="eastAsia" w:ascii="宋体" w:hAnsi="宋体"/>
          <w:szCs w:val="21"/>
        </w:rPr>
        <w:t>、</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6"/>
        <w:tabs>
          <w:tab w:val="left" w:pos="371"/>
        </w:tabs>
        <w:spacing w:before="120" w:after="120"/>
        <w:ind w:left="-1" w:leftChars="-1" w:hanging="1"/>
        <w:jc w:val="center"/>
        <w:rPr>
          <w:rFonts w:asciiTheme="minorEastAsia" w:hAnsiTheme="minorEastAsia" w:eastAsiaTheme="minorEastAsia"/>
        </w:rPr>
      </w:pPr>
      <w:bookmarkStart w:id="71" w:name="_Toc44691398"/>
      <w:bookmarkStart w:id="72" w:name="_Toc135293187"/>
      <w:bookmarkStart w:id="73" w:name="_Toc44690707"/>
      <w:bookmarkStart w:id="74" w:name="_Toc44690434"/>
      <w:bookmarkStart w:id="75" w:name="_Toc44691166"/>
      <w:r>
        <w:rPr>
          <w:rFonts w:hint="eastAsia" w:asciiTheme="minorEastAsia" w:hAnsiTheme="minorEastAsia" w:eastAsiaTheme="minorEastAsia"/>
        </w:rPr>
        <w:t>格式6  报价表</w:t>
      </w:r>
      <w:bookmarkEnd w:id="71"/>
      <w:bookmarkEnd w:id="72"/>
      <w:bookmarkEnd w:id="73"/>
      <w:bookmarkEnd w:id="74"/>
      <w:bookmarkEnd w:id="75"/>
    </w:p>
    <w:p w14:paraId="054F812E">
      <w:pPr>
        <w:spacing w:line="300" w:lineRule="auto"/>
        <w:rPr>
          <w:rFonts w:ascii="楷体_GB2312" w:eastAsia="楷体_GB2312"/>
          <w:b/>
          <w:sz w:val="24"/>
        </w:rPr>
      </w:pPr>
      <w:r>
        <w:rPr>
          <w:rFonts w:hint="eastAsia" w:ascii="楷体_GB2312" w:eastAsia="楷体_GB2312"/>
          <w:b/>
          <w:sz w:val="24"/>
        </w:rPr>
        <w:t>1   报价要求</w:t>
      </w:r>
    </w:p>
    <w:p w14:paraId="7685F4B8">
      <w:pPr>
        <w:adjustRightInd w:val="0"/>
        <w:spacing w:line="312" w:lineRule="auto"/>
        <w:ind w:left="2" w:firstLine="424" w:firstLineChars="202"/>
        <w:rPr>
          <w:rFonts w:ascii="宋体" w:hAnsi="宋体"/>
          <w:bCs/>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31"/>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6"/>
        <w:tabs>
          <w:tab w:val="left" w:pos="371"/>
        </w:tabs>
        <w:spacing w:before="120" w:after="120"/>
        <w:ind w:left="-1" w:leftChars="-1" w:hanging="1"/>
        <w:jc w:val="center"/>
        <w:rPr>
          <w:rFonts w:asciiTheme="minorEastAsia" w:hAnsiTheme="minorEastAsia" w:eastAsiaTheme="minorEastAsia"/>
        </w:rPr>
      </w:pPr>
      <w:bookmarkStart w:id="76" w:name="_Toc44691167"/>
      <w:bookmarkStart w:id="77" w:name="_Toc44690435"/>
      <w:bookmarkStart w:id="78" w:name="_Toc44690708"/>
      <w:bookmarkStart w:id="79" w:name="_Toc135293188"/>
      <w:bookmarkStart w:id="80" w:name="_Toc44691399"/>
    </w:p>
    <w:p w14:paraId="2F27DAFC">
      <w:pPr>
        <w:pStyle w:val="6"/>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6"/>
      <w:bookmarkEnd w:id="77"/>
      <w:bookmarkEnd w:id="78"/>
      <w:bookmarkEnd w:id="79"/>
      <w:bookmarkEnd w:id="80"/>
    </w:p>
    <w:p w14:paraId="5F581870">
      <w:pPr>
        <w:pStyle w:val="10"/>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30862FA0">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75235D54">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53BA527E">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同类项目业绩情况</w:t>
      </w:r>
    </w:p>
    <w:p w14:paraId="62A2EF8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拟安排的项目负责人(仅限1人）情况</w:t>
      </w:r>
    </w:p>
    <w:p w14:paraId="5D4F00B9">
      <w:pPr>
        <w:spacing w:line="360" w:lineRule="auto"/>
        <w:ind w:firstLine="420" w:firstLineChars="200"/>
        <w:rPr>
          <w:rFonts w:ascii="宋体" w:hAnsi="宋体"/>
          <w:szCs w:val="21"/>
        </w:rPr>
      </w:pPr>
      <w:r>
        <w:rPr>
          <w:rFonts w:hint="eastAsia" w:ascii="宋体" w:hAnsi="宋体" w:cs="宋体"/>
          <w:szCs w:val="21"/>
          <w:lang w:val="en-US" w:eastAsia="zh-CN"/>
        </w:rPr>
        <w:t>5、</w:t>
      </w:r>
      <w:r>
        <w:rPr>
          <w:rFonts w:hint="eastAsia" w:ascii="宋体" w:hAnsi="宋体" w:cs="宋体"/>
          <w:szCs w:val="21"/>
        </w:rPr>
        <w:t>拟安排的项目团队成员（项目负责人除外）情况</w:t>
      </w:r>
    </w:p>
    <w:p w14:paraId="62D8E219">
      <w:pPr>
        <w:spacing w:line="360" w:lineRule="auto"/>
        <w:ind w:left="420"/>
        <w:rPr>
          <w:rFonts w:ascii="宋体" w:hAnsi="宋体"/>
          <w:bCs/>
        </w:rPr>
      </w:pPr>
      <w:r>
        <w:rPr>
          <w:rFonts w:hint="eastAsia" w:ascii="宋体" w:hAnsi="宋体"/>
          <w:bCs/>
        </w:rPr>
        <w:t>6、投标人认为必要的其他方案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7"/>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3805D7A3">
      <w:pPr>
        <w:tabs>
          <w:tab w:val="left" w:pos="8248"/>
          <w:tab w:val="left" w:pos="9368"/>
        </w:tabs>
        <w:spacing w:line="360" w:lineRule="auto"/>
        <w:rPr>
          <w:rFonts w:hint="eastAsia"/>
        </w:rPr>
      </w:pPr>
    </w:p>
    <w:p w14:paraId="721A4887">
      <w:pPr>
        <w:tabs>
          <w:tab w:val="left" w:pos="8248"/>
          <w:tab w:val="left" w:pos="9368"/>
        </w:tabs>
        <w:spacing w:line="360" w:lineRule="auto"/>
        <w:rPr>
          <w:rFonts w:hint="eastAsia"/>
        </w:rPr>
      </w:pPr>
    </w:p>
    <w:p w14:paraId="135D5C4E">
      <w:pPr>
        <w:tabs>
          <w:tab w:val="left" w:pos="8248"/>
          <w:tab w:val="left" w:pos="9368"/>
        </w:tabs>
        <w:spacing w:line="360" w:lineRule="auto"/>
        <w:rPr>
          <w:rFonts w:hint="eastAsia"/>
        </w:rPr>
      </w:pPr>
    </w:p>
    <w:p w14:paraId="2CDFCC6B">
      <w:pPr>
        <w:tabs>
          <w:tab w:val="left" w:pos="8248"/>
          <w:tab w:val="left" w:pos="9368"/>
        </w:tabs>
        <w:spacing w:line="360" w:lineRule="auto"/>
        <w:rPr>
          <w:rFonts w:hint="eastAsia"/>
        </w:rPr>
      </w:pPr>
    </w:p>
    <w:p w14:paraId="00F7CDE2">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6"/>
        <w:tabs>
          <w:tab w:val="left" w:pos="371"/>
        </w:tabs>
        <w:spacing w:before="120" w:after="120"/>
        <w:ind w:left="-1" w:leftChars="-1" w:hanging="1"/>
        <w:jc w:val="center"/>
        <w:rPr>
          <w:rFonts w:asciiTheme="minorEastAsia" w:hAnsiTheme="minorEastAsia" w:eastAsiaTheme="minorEastAsia"/>
        </w:rPr>
      </w:pPr>
      <w:bookmarkStart w:id="81" w:name="_Toc135293189"/>
    </w:p>
    <w:p w14:paraId="354E825C"/>
    <w:p w14:paraId="5F4697AB">
      <w:pPr>
        <w:pStyle w:val="7"/>
      </w:pPr>
    </w:p>
    <w:p w14:paraId="241FDC79"/>
    <w:p w14:paraId="2754A1CC">
      <w:pPr>
        <w:pStyle w:val="6"/>
        <w:tabs>
          <w:tab w:val="left" w:pos="371"/>
        </w:tabs>
        <w:spacing w:before="120" w:after="120"/>
        <w:ind w:left="-1" w:leftChars="-1" w:hanging="1"/>
        <w:jc w:val="center"/>
        <w:rPr>
          <w:rFonts w:asciiTheme="minorEastAsia" w:hAnsiTheme="minorEastAsia" w:eastAsiaTheme="minorEastAsia"/>
        </w:rPr>
      </w:pPr>
    </w:p>
    <w:p w14:paraId="3B5CA548">
      <w:pPr>
        <w:pStyle w:val="6"/>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1"/>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6"/>
        <w:tabs>
          <w:tab w:val="left" w:pos="371"/>
        </w:tabs>
        <w:spacing w:before="120" w:after="120"/>
        <w:ind w:left="-1" w:leftChars="-1" w:hanging="1"/>
        <w:jc w:val="center"/>
        <w:rPr>
          <w:rFonts w:asciiTheme="minorEastAsia" w:hAnsiTheme="minorEastAsia" w:eastAsiaTheme="minorEastAsia"/>
        </w:rPr>
      </w:pPr>
      <w:bookmarkStart w:id="82" w:name="_Toc44690436"/>
      <w:bookmarkStart w:id="83" w:name="_Toc44691400"/>
      <w:bookmarkStart w:id="84" w:name="_Toc44690709"/>
      <w:bookmarkStart w:id="85" w:name="_Toc135293190"/>
      <w:bookmarkStart w:id="86" w:name="_Toc44691168"/>
      <w:r>
        <w:rPr>
          <w:rFonts w:hint="eastAsia" w:asciiTheme="minorEastAsia" w:hAnsiTheme="minorEastAsia" w:eastAsiaTheme="minorEastAsia"/>
        </w:rPr>
        <w:t>格式9  偏离表</w:t>
      </w:r>
      <w:bookmarkEnd w:id="82"/>
      <w:bookmarkEnd w:id="83"/>
      <w:bookmarkEnd w:id="84"/>
      <w:bookmarkEnd w:id="85"/>
      <w:bookmarkEnd w:id="86"/>
    </w:p>
    <w:p w14:paraId="5D4F1461">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征集文件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征集文件</w:t>
      </w:r>
      <w:r>
        <w:rPr>
          <w:rFonts w:hint="eastAsia" w:ascii="宋体" w:hAnsi="宋体" w:cs="Arial"/>
          <w:bCs/>
          <w:szCs w:val="21"/>
        </w:rPr>
        <w:t>服务要求”一栏填写</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征集文件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征集文件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征集文件商务要求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征集文件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4B10425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D26E38D">
      <w:pPr>
        <w:adjustRightInd w:val="0"/>
        <w:snapToGrid w:val="0"/>
        <w:spacing w:line="300" w:lineRule="auto"/>
        <w:rPr>
          <w:snapToGrid w:val="0"/>
          <w:kern w:val="0"/>
        </w:rPr>
      </w:pPr>
    </w:p>
    <w:p w14:paraId="1BE06879">
      <w:pPr>
        <w:adjustRightInd w:val="0"/>
        <w:snapToGrid w:val="0"/>
        <w:spacing w:line="300" w:lineRule="auto"/>
        <w:rPr>
          <w:snapToGrid w:val="0"/>
          <w:kern w:val="0"/>
        </w:rPr>
      </w:pPr>
    </w:p>
    <w:p w14:paraId="2C5FBA32">
      <w:pPr>
        <w:wordWrap w:val="0"/>
        <w:adjustRightInd w:val="0"/>
        <w:snapToGrid w:val="0"/>
        <w:spacing w:line="300" w:lineRule="auto"/>
        <w:jc w:val="right"/>
        <w:rPr>
          <w:snapToGrid w:val="0"/>
          <w:kern w:val="0"/>
        </w:rPr>
      </w:pPr>
      <w:r>
        <w:rPr>
          <w:rFonts w:hint="eastAsia"/>
          <w:snapToGrid w:val="0"/>
          <w:kern w:val="0"/>
        </w:rPr>
        <w:t>年    月   日</w:t>
      </w:r>
    </w:p>
    <w:p w14:paraId="63DE0C29">
      <w:pPr>
        <w:adjustRightInd w:val="0"/>
        <w:snapToGrid w:val="0"/>
        <w:spacing w:line="300" w:lineRule="auto"/>
        <w:jc w:val="left"/>
        <w:rPr>
          <w:snapToGrid w:val="0"/>
          <w:kern w:val="0"/>
        </w:rPr>
      </w:pPr>
    </w:p>
    <w:p w14:paraId="4CB3502D">
      <w:pPr>
        <w:rPr>
          <w:rFonts w:asciiTheme="minorEastAsia" w:hAnsiTheme="minorEastAsia" w:eastAsiaTheme="minorEastAsia"/>
        </w:rPr>
      </w:pPr>
      <w:bookmarkStart w:id="87" w:name="q16"/>
      <w:bookmarkEnd w:id="87"/>
      <w:bookmarkStart w:id="88" w:name="q15"/>
      <w:bookmarkEnd w:id="88"/>
      <w:bookmarkStart w:id="89" w:name="_格式2__投标保证金凭证"/>
      <w:bookmarkEnd w:id="89"/>
      <w:bookmarkStart w:id="90" w:name="_格式5__"/>
      <w:bookmarkEnd w:id="90"/>
      <w:bookmarkStart w:id="91" w:name="_格式3__"/>
      <w:bookmarkEnd w:id="91"/>
      <w:bookmarkStart w:id="92" w:name="q17"/>
      <w:bookmarkEnd w:id="92"/>
      <w:bookmarkStart w:id="93" w:name="_格式4__"/>
      <w:bookmarkEnd w:id="93"/>
      <w:r>
        <w:rPr>
          <w:rFonts w:asciiTheme="minorEastAsia" w:hAnsiTheme="minorEastAsia" w:eastAsiaTheme="minorEastAsia"/>
        </w:rPr>
        <w:br w:type="page"/>
      </w:r>
    </w:p>
    <w:p w14:paraId="26746F7F">
      <w:pPr>
        <w:pStyle w:val="6"/>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ab/>
      </w:r>
      <w:bookmarkStart w:id="94" w:name="_Toc44690710"/>
      <w:bookmarkStart w:id="95" w:name="_Toc44690437"/>
      <w:bookmarkStart w:id="96" w:name="_Toc44691401"/>
      <w:bookmarkStart w:id="97" w:name="_Toc44691169"/>
      <w:bookmarkStart w:id="98" w:name="_Toc135293191"/>
      <w:r>
        <w:rPr>
          <w:rFonts w:hint="eastAsia" w:asciiTheme="minorEastAsia" w:hAnsiTheme="minorEastAsia" w:eastAsiaTheme="minorEastAsia"/>
        </w:rPr>
        <w:t xml:space="preserve">格式10  </w:t>
      </w:r>
      <w:bookmarkEnd w:id="94"/>
      <w:bookmarkEnd w:id="95"/>
      <w:bookmarkEnd w:id="96"/>
      <w:bookmarkEnd w:id="97"/>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98"/>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5"/>
      </w:pPr>
      <w:bookmarkStart w:id="99" w:name="_Toc135293192"/>
      <w:r>
        <w:rPr>
          <w:rFonts w:hint="eastAsia"/>
        </w:rPr>
        <w:t>第八章  合同条款</w:t>
      </w:r>
      <w:bookmarkEnd w:id="99"/>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9"/>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6C3AD677">
      <w:pPr>
        <w:pStyle w:val="29"/>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lang w:eastAsia="zh-CN"/>
        </w:rPr>
        <w:t>征集</w:t>
      </w:r>
      <w:r>
        <w:rPr>
          <w:rFonts w:hint="eastAsia" w:ascii="宋体" w:hAnsi="宋体"/>
          <w:szCs w:val="21"/>
        </w:rPr>
        <w:t>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9"/>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9"/>
        <w:snapToGrid w:val="0"/>
        <w:spacing w:line="360" w:lineRule="auto"/>
        <w:ind w:firstLine="422" w:firstLineChars="200"/>
        <w:rPr>
          <w:rFonts w:hAnsi="宋体"/>
          <w:b/>
          <w:szCs w:val="21"/>
        </w:rPr>
      </w:pPr>
      <w:r>
        <w:rPr>
          <w:rFonts w:hint="eastAsia" w:hAnsi="宋体"/>
          <w:b/>
          <w:szCs w:val="21"/>
        </w:rPr>
        <w:t>二、合同金额</w:t>
      </w:r>
    </w:p>
    <w:p w14:paraId="1A9D4D7D">
      <w:pPr>
        <w:pStyle w:val="29"/>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9"/>
        <w:snapToGrid w:val="0"/>
        <w:spacing w:line="360" w:lineRule="auto"/>
        <w:ind w:firstLine="422" w:firstLineChars="200"/>
        <w:rPr>
          <w:rFonts w:hAnsi="宋体"/>
          <w:b/>
          <w:szCs w:val="21"/>
        </w:rPr>
      </w:pPr>
      <w:r>
        <w:rPr>
          <w:rFonts w:hint="eastAsia" w:hAnsi="宋体"/>
          <w:b/>
          <w:szCs w:val="21"/>
        </w:rPr>
        <w:t>三、技术资料</w:t>
      </w:r>
    </w:p>
    <w:p w14:paraId="536237EC">
      <w:pPr>
        <w:pStyle w:val="29"/>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征集文件</w:t>
      </w:r>
      <w:r>
        <w:rPr>
          <w:rFonts w:hint="eastAsia" w:hAnsi="宋体"/>
          <w:szCs w:val="21"/>
        </w:rPr>
        <w:t>规定的时间向采购人提供有关技术资料。</w:t>
      </w:r>
    </w:p>
    <w:p w14:paraId="3BCC4F18">
      <w:pPr>
        <w:pStyle w:val="29"/>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9"/>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9"/>
        <w:snapToGrid w:val="0"/>
        <w:spacing w:line="360" w:lineRule="auto"/>
        <w:ind w:firstLine="422" w:firstLineChars="200"/>
        <w:rPr>
          <w:rFonts w:hAnsi="宋体"/>
          <w:b/>
          <w:szCs w:val="21"/>
        </w:rPr>
      </w:pPr>
      <w:r>
        <w:rPr>
          <w:rFonts w:hint="eastAsia" w:hAnsi="宋体"/>
          <w:b/>
          <w:szCs w:val="21"/>
        </w:rPr>
        <w:t>四、知识产权</w:t>
      </w:r>
    </w:p>
    <w:p w14:paraId="089B43B5">
      <w:pPr>
        <w:pStyle w:val="29"/>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9"/>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9"/>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9"/>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9"/>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9"/>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征集文件</w:t>
      </w:r>
      <w:r>
        <w:rPr>
          <w:rFonts w:hint="eastAsia" w:ascii="宋体" w:hAnsi="宋体"/>
          <w:szCs w:val="21"/>
        </w:rPr>
        <w:t>、中标人投标文件，国家和行业有关规范、规程和标准。</w:t>
      </w:r>
    </w:p>
    <w:p w14:paraId="524617BC">
      <w:pPr>
        <w:pStyle w:val="29"/>
        <w:snapToGrid w:val="0"/>
        <w:spacing w:line="360" w:lineRule="auto"/>
        <w:ind w:firstLine="422" w:firstLineChars="200"/>
        <w:rPr>
          <w:rFonts w:hAnsi="宋体"/>
          <w:b/>
          <w:szCs w:val="21"/>
        </w:rPr>
      </w:pPr>
      <w:r>
        <w:rPr>
          <w:rFonts w:hint="eastAsia" w:hAnsi="宋体"/>
          <w:b/>
          <w:szCs w:val="21"/>
        </w:rPr>
        <w:t>十、付款方式和税费</w:t>
      </w:r>
    </w:p>
    <w:p w14:paraId="2CAD3547">
      <w:pPr>
        <w:pStyle w:val="29"/>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9"/>
        <w:snapToGrid w:val="0"/>
        <w:spacing w:line="360" w:lineRule="auto"/>
        <w:ind w:firstLine="422" w:firstLineChars="200"/>
        <w:rPr>
          <w:rFonts w:hAnsi="宋体"/>
          <w:b/>
          <w:szCs w:val="21"/>
        </w:rPr>
      </w:pPr>
      <w:r>
        <w:rPr>
          <w:rFonts w:hint="eastAsia" w:hAnsi="宋体"/>
          <w:b/>
          <w:szCs w:val="21"/>
        </w:rPr>
        <w:t>十二、违约责任</w:t>
      </w:r>
    </w:p>
    <w:p w14:paraId="37297565">
      <w:pPr>
        <w:pStyle w:val="29"/>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征集文件</w:t>
      </w:r>
      <w:r>
        <w:rPr>
          <w:rFonts w:hint="eastAsia" w:ascii="宋体" w:hAnsi="宋体"/>
          <w:szCs w:val="21"/>
        </w:rPr>
        <w:t>、中标人投标文件如有抵触之处，以本合同条款为准。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征集文件</w:t>
      </w:r>
      <w:r>
        <w:rPr>
          <w:rFonts w:hint="eastAsia" w:ascii="宋体" w:hAnsi="宋体"/>
          <w:szCs w:val="21"/>
        </w:rPr>
        <w:t>、答疑及补充通知；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9"/>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征集文件</w:t>
      </w:r>
      <w:r>
        <w:rPr>
          <w:rFonts w:hint="eastAsia" w:ascii="宋体" w:hAnsi="宋体"/>
          <w:szCs w:val="21"/>
        </w:rPr>
        <w:t>》</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w:t>
      </w:r>
      <w:r>
        <w:rPr>
          <w:rFonts w:hint="eastAsia" w:asciiTheme="minorEastAsia" w:hAnsiTheme="minorEastAsia"/>
          <w:szCs w:val="21"/>
          <w:lang w:eastAsia="zh-CN"/>
        </w:rPr>
        <w:t>盖章</w:t>
      </w: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w:t>
      </w:r>
      <w:r>
        <w:rPr>
          <w:rFonts w:hint="eastAsia" w:asciiTheme="minorEastAsia" w:hAnsiTheme="minorEastAsia"/>
          <w:szCs w:val="21"/>
          <w:lang w:eastAsia="zh-CN"/>
        </w:rPr>
        <w:t>盖章</w:t>
      </w:r>
      <w:r>
        <w:rPr>
          <w:rFonts w:hint="eastAsia" w:asciiTheme="minorEastAsia" w:hAnsiTheme="minorEastAsia"/>
          <w:szCs w:val="21"/>
        </w:rPr>
        <w:t>）</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5"/>
      </w:pPr>
      <w:bookmarkStart w:id="100" w:name="_Toc73610161"/>
      <w:bookmarkStart w:id="101" w:name="_Toc135293193"/>
      <w:r>
        <w:rPr>
          <w:rFonts w:hint="eastAsia"/>
        </w:rPr>
        <w:t>第九章  附件</w:t>
      </w:r>
      <w:bookmarkEnd w:id="100"/>
      <w:bookmarkEnd w:id="101"/>
    </w:p>
    <w:p w14:paraId="3C84BC95">
      <w:pPr>
        <w:pStyle w:val="7"/>
        <w:spacing w:before="0" w:after="0"/>
      </w:pPr>
      <w:bookmarkStart w:id="102" w:name="_Toc73613644"/>
      <w:bookmarkStart w:id="103" w:name="_Toc73610162"/>
      <w:bookmarkStart w:id="104" w:name="_Toc135293194"/>
      <w:r>
        <w:rPr>
          <w:rFonts w:hint="eastAsia"/>
        </w:rPr>
        <w:t>一、财政部 工业和信息化部关于印发《政府采购促进中小企业发展管理办法》的通知</w:t>
      </w:r>
      <w:bookmarkEnd w:id="102"/>
      <w:bookmarkEnd w:id="103"/>
      <w:bookmarkEnd w:id="104"/>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7"/>
        <w:spacing w:before="0" w:after="0"/>
      </w:pPr>
      <w:bookmarkStart w:id="105" w:name="_Toc73610163"/>
      <w:bookmarkStart w:id="106" w:name="_Toc135293195"/>
      <w:bookmarkStart w:id="107" w:name="_Toc73613645"/>
      <w:r>
        <w:rPr>
          <w:rFonts w:hint="eastAsia"/>
        </w:rPr>
        <w:t>二、关于印发中小企业划型标准规定的通知</w:t>
      </w:r>
      <w:bookmarkEnd w:id="105"/>
      <w:bookmarkEnd w:id="106"/>
      <w:bookmarkEnd w:id="107"/>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7"/>
        <w:spacing w:before="0" w:after="0"/>
      </w:pPr>
      <w:bookmarkStart w:id="108" w:name="_Toc135293196"/>
      <w:bookmarkStart w:id="109" w:name="_Toc73613646"/>
      <w:bookmarkStart w:id="110" w:name="_Toc73610164"/>
      <w:r>
        <w:rPr>
          <w:rFonts w:hint="eastAsia"/>
        </w:rPr>
        <w:t>三、</w:t>
      </w:r>
      <w:r>
        <w:t>国家统计局关于印发《统计上大中小微型企业划分办法 （2017）》的通知</w:t>
      </w:r>
      <w:bookmarkEnd w:id="108"/>
      <w:bookmarkEnd w:id="109"/>
      <w:bookmarkEnd w:id="110"/>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7"/>
        <w:spacing w:before="0" w:after="0"/>
      </w:pPr>
      <w:bookmarkStart w:id="111" w:name="_Toc73610165"/>
      <w:bookmarkStart w:id="112" w:name="_Toc135293197"/>
      <w:bookmarkStart w:id="113" w:name="_Toc73613647"/>
      <w:r>
        <w:rPr>
          <w:rFonts w:hint="eastAsia"/>
        </w:rPr>
        <w:t>四、</w:t>
      </w:r>
      <w:r>
        <w:t>财政部 民政部 中国残疾人联合会关于促进残疾人就业 政府采购政策的通知</w:t>
      </w:r>
      <w:bookmarkEnd w:id="111"/>
      <w:bookmarkEnd w:id="112"/>
      <w:bookmarkEnd w:id="113"/>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7"/>
        <w:spacing w:before="0" w:after="0"/>
      </w:pPr>
      <w:bookmarkStart w:id="114" w:name="_Toc135293198"/>
      <w:r>
        <w:rPr>
          <w:rFonts w:hint="eastAsia"/>
        </w:rPr>
        <w:t>五、财政部 司法部关于政府采购支持监狱企业发展有关问题的通知</w:t>
      </w:r>
      <w:bookmarkEnd w:id="114"/>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4"/>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50</w:t>
    </w:r>
    <w:r>
      <w:rPr>
        <w:rStyle w:val="55"/>
      </w:rPr>
      <w:fldChar w:fldCharType="end"/>
    </w:r>
  </w:p>
  <w:p w14:paraId="21DB7764">
    <w:pPr>
      <w:pStyle w:val="3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5"/>
      <w:tabs>
        <w:tab w:val="center" w:pos="4819"/>
        <w:tab w:val="right" w:pos="9638"/>
      </w:tabs>
      <w:jc w:val="left"/>
    </w:pPr>
    <w:r>
      <w:rPr>
        <w:rFonts w:hint="eastAsia"/>
      </w:rPr>
      <w:t>项目名称：</w:t>
    </w:r>
    <w:r>
      <w:rPr>
        <w:rFonts w:hint="eastAsia"/>
        <w:lang w:eastAsia="zh-CN"/>
      </w:rPr>
      <w:t>29条奥林巴斯消化内镜维保服务</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SZZXDL-2026-00600</w:t>
    </w:r>
    <w:r>
      <w:tab/>
    </w:r>
  </w:p>
  <w:p w14:paraId="60593B1B">
    <w:pPr>
      <w:pStyle w:val="35"/>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21"/>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9"/>
      <w:lvlText w:val="%5)"/>
      <w:lvlJc w:val="left"/>
      <w:pPr>
        <w:tabs>
          <w:tab w:val="left" w:pos="2111"/>
        </w:tabs>
        <w:ind w:left="2111" w:hanging="420"/>
      </w:pPr>
    </w:lvl>
    <w:lvl w:ilvl="5" w:tentative="0">
      <w:start w:val="1"/>
      <w:numFmt w:val="lowerRoman"/>
      <w:pStyle w:val="13"/>
      <w:lvlText w:val="%6."/>
      <w:lvlJc w:val="right"/>
      <w:pPr>
        <w:tabs>
          <w:tab w:val="left" w:pos="2531"/>
        </w:tabs>
        <w:ind w:left="2531" w:hanging="420"/>
      </w:pPr>
    </w:lvl>
    <w:lvl w:ilvl="6" w:tentative="0">
      <w:start w:val="1"/>
      <w:numFmt w:val="decimal"/>
      <w:pStyle w:val="14"/>
      <w:lvlText w:val="%7."/>
      <w:lvlJc w:val="left"/>
      <w:pPr>
        <w:tabs>
          <w:tab w:val="left" w:pos="2951"/>
        </w:tabs>
        <w:ind w:left="2951" w:hanging="420"/>
      </w:pPr>
    </w:lvl>
    <w:lvl w:ilvl="7" w:tentative="0">
      <w:start w:val="1"/>
      <w:numFmt w:val="lowerLetter"/>
      <w:pStyle w:val="15"/>
      <w:lvlText w:val="%8)"/>
      <w:lvlJc w:val="left"/>
      <w:pPr>
        <w:tabs>
          <w:tab w:val="left" w:pos="3371"/>
        </w:tabs>
        <w:ind w:left="3371" w:hanging="420"/>
      </w:pPr>
    </w:lvl>
    <w:lvl w:ilvl="8" w:tentative="0">
      <w:start w:val="1"/>
      <w:numFmt w:val="lowerRoman"/>
      <w:pStyle w:val="16"/>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6"/>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F0299B"/>
    <w:rsid w:val="026E4F91"/>
    <w:rsid w:val="03B62498"/>
    <w:rsid w:val="041D095D"/>
    <w:rsid w:val="05C87DB9"/>
    <w:rsid w:val="06FD5C96"/>
    <w:rsid w:val="07893CE5"/>
    <w:rsid w:val="07B64967"/>
    <w:rsid w:val="07E83213"/>
    <w:rsid w:val="080D2DB2"/>
    <w:rsid w:val="0961739E"/>
    <w:rsid w:val="098E6083"/>
    <w:rsid w:val="09D354E6"/>
    <w:rsid w:val="0ADA4400"/>
    <w:rsid w:val="0B205B2B"/>
    <w:rsid w:val="0B782559"/>
    <w:rsid w:val="0BA2388A"/>
    <w:rsid w:val="0C977743"/>
    <w:rsid w:val="0CE97CA0"/>
    <w:rsid w:val="0D566BC9"/>
    <w:rsid w:val="0D7C1890"/>
    <w:rsid w:val="0E180322"/>
    <w:rsid w:val="0E1F177B"/>
    <w:rsid w:val="0E290BAD"/>
    <w:rsid w:val="0E5928AD"/>
    <w:rsid w:val="0E8C4995"/>
    <w:rsid w:val="0EF27BFB"/>
    <w:rsid w:val="0F0D2BA7"/>
    <w:rsid w:val="0F6A604F"/>
    <w:rsid w:val="0FBC50EF"/>
    <w:rsid w:val="10D81BB4"/>
    <w:rsid w:val="115F3FD7"/>
    <w:rsid w:val="11A259DD"/>
    <w:rsid w:val="11AC22A1"/>
    <w:rsid w:val="11DC3BF7"/>
    <w:rsid w:val="11F9269A"/>
    <w:rsid w:val="120474A0"/>
    <w:rsid w:val="12782BDC"/>
    <w:rsid w:val="12A76568"/>
    <w:rsid w:val="12B3632A"/>
    <w:rsid w:val="13102ABE"/>
    <w:rsid w:val="145B4172"/>
    <w:rsid w:val="14BA7830"/>
    <w:rsid w:val="155016FB"/>
    <w:rsid w:val="167D280D"/>
    <w:rsid w:val="17047766"/>
    <w:rsid w:val="174A5413"/>
    <w:rsid w:val="17935895"/>
    <w:rsid w:val="17BB6CC1"/>
    <w:rsid w:val="17F52C18"/>
    <w:rsid w:val="184530EF"/>
    <w:rsid w:val="191B48B4"/>
    <w:rsid w:val="19227A4B"/>
    <w:rsid w:val="1A4E7B88"/>
    <w:rsid w:val="1A595BDF"/>
    <w:rsid w:val="1B3E182A"/>
    <w:rsid w:val="1B4B5195"/>
    <w:rsid w:val="1B9B4BE2"/>
    <w:rsid w:val="1C174C6F"/>
    <w:rsid w:val="1C7C020D"/>
    <w:rsid w:val="1C8F78BA"/>
    <w:rsid w:val="1C9B0D84"/>
    <w:rsid w:val="1CC07053"/>
    <w:rsid w:val="1CDD3F3B"/>
    <w:rsid w:val="1D4D6869"/>
    <w:rsid w:val="1D984525"/>
    <w:rsid w:val="1E2C3B3A"/>
    <w:rsid w:val="20707345"/>
    <w:rsid w:val="20F7280E"/>
    <w:rsid w:val="21760101"/>
    <w:rsid w:val="21EB1245"/>
    <w:rsid w:val="22A356EC"/>
    <w:rsid w:val="22B25284"/>
    <w:rsid w:val="22C07D9F"/>
    <w:rsid w:val="23056CBA"/>
    <w:rsid w:val="233D6208"/>
    <w:rsid w:val="234C1E42"/>
    <w:rsid w:val="23C6059E"/>
    <w:rsid w:val="23C95079"/>
    <w:rsid w:val="24031A53"/>
    <w:rsid w:val="24307C26"/>
    <w:rsid w:val="248E5D4C"/>
    <w:rsid w:val="24B05017"/>
    <w:rsid w:val="24B91249"/>
    <w:rsid w:val="24C47897"/>
    <w:rsid w:val="24D521C3"/>
    <w:rsid w:val="24E337F8"/>
    <w:rsid w:val="258D3B57"/>
    <w:rsid w:val="262336EE"/>
    <w:rsid w:val="269E4C0C"/>
    <w:rsid w:val="27024D1A"/>
    <w:rsid w:val="270D4FBD"/>
    <w:rsid w:val="296877BD"/>
    <w:rsid w:val="29F56EFE"/>
    <w:rsid w:val="2AD85037"/>
    <w:rsid w:val="2B6128FD"/>
    <w:rsid w:val="2BD0253B"/>
    <w:rsid w:val="2C444480"/>
    <w:rsid w:val="2C564DC3"/>
    <w:rsid w:val="2CE90E48"/>
    <w:rsid w:val="2D6C141D"/>
    <w:rsid w:val="2E980D64"/>
    <w:rsid w:val="2EB64B4B"/>
    <w:rsid w:val="2EC27BBF"/>
    <w:rsid w:val="2EDB590A"/>
    <w:rsid w:val="2F0A29E3"/>
    <w:rsid w:val="30817D6A"/>
    <w:rsid w:val="3157114E"/>
    <w:rsid w:val="31F2037F"/>
    <w:rsid w:val="329B11F6"/>
    <w:rsid w:val="336E087E"/>
    <w:rsid w:val="33A85DA6"/>
    <w:rsid w:val="33C3087D"/>
    <w:rsid w:val="354C4E38"/>
    <w:rsid w:val="35883A79"/>
    <w:rsid w:val="35961B12"/>
    <w:rsid w:val="35FF76D1"/>
    <w:rsid w:val="364523AD"/>
    <w:rsid w:val="36700D38"/>
    <w:rsid w:val="36C4673D"/>
    <w:rsid w:val="37B10B63"/>
    <w:rsid w:val="37D17C49"/>
    <w:rsid w:val="386774A8"/>
    <w:rsid w:val="38856BF6"/>
    <w:rsid w:val="38950836"/>
    <w:rsid w:val="38EE59DD"/>
    <w:rsid w:val="390721D7"/>
    <w:rsid w:val="393B510C"/>
    <w:rsid w:val="393F4767"/>
    <w:rsid w:val="394A74A1"/>
    <w:rsid w:val="39A97E97"/>
    <w:rsid w:val="3A260C29"/>
    <w:rsid w:val="3B2704DC"/>
    <w:rsid w:val="3B57268D"/>
    <w:rsid w:val="3B6176CE"/>
    <w:rsid w:val="3BF9504C"/>
    <w:rsid w:val="3CF11603"/>
    <w:rsid w:val="3D5129F3"/>
    <w:rsid w:val="3D5C6C90"/>
    <w:rsid w:val="3D7507FB"/>
    <w:rsid w:val="3D8B6C32"/>
    <w:rsid w:val="3DC3324D"/>
    <w:rsid w:val="3EB5127A"/>
    <w:rsid w:val="3F503E5E"/>
    <w:rsid w:val="3FC16214"/>
    <w:rsid w:val="41576FF8"/>
    <w:rsid w:val="418F600A"/>
    <w:rsid w:val="41D9164E"/>
    <w:rsid w:val="41DD521D"/>
    <w:rsid w:val="423B7022"/>
    <w:rsid w:val="42A87124"/>
    <w:rsid w:val="4389060E"/>
    <w:rsid w:val="43C8028A"/>
    <w:rsid w:val="43D51667"/>
    <w:rsid w:val="443B2C25"/>
    <w:rsid w:val="448421F1"/>
    <w:rsid w:val="45C61382"/>
    <w:rsid w:val="45D37D9B"/>
    <w:rsid w:val="476B2B19"/>
    <w:rsid w:val="47FB7554"/>
    <w:rsid w:val="48194FD5"/>
    <w:rsid w:val="484514CB"/>
    <w:rsid w:val="48C45C6F"/>
    <w:rsid w:val="48C86EE1"/>
    <w:rsid w:val="49EF7F68"/>
    <w:rsid w:val="49FA6EF8"/>
    <w:rsid w:val="4A784961"/>
    <w:rsid w:val="4ACF3A3C"/>
    <w:rsid w:val="4AD15214"/>
    <w:rsid w:val="4B1700DF"/>
    <w:rsid w:val="4D8D35EF"/>
    <w:rsid w:val="4E333CF7"/>
    <w:rsid w:val="4F0F6A19"/>
    <w:rsid w:val="4F1A08BB"/>
    <w:rsid w:val="50E852B1"/>
    <w:rsid w:val="50EF28A9"/>
    <w:rsid w:val="515C7325"/>
    <w:rsid w:val="51D10A66"/>
    <w:rsid w:val="527A75E4"/>
    <w:rsid w:val="528A390F"/>
    <w:rsid w:val="528C6991"/>
    <w:rsid w:val="52936864"/>
    <w:rsid w:val="52C3297B"/>
    <w:rsid w:val="54054633"/>
    <w:rsid w:val="540605E4"/>
    <w:rsid w:val="547F0032"/>
    <w:rsid w:val="54A02A20"/>
    <w:rsid w:val="55384597"/>
    <w:rsid w:val="55870BFE"/>
    <w:rsid w:val="55977E51"/>
    <w:rsid w:val="55C87B3E"/>
    <w:rsid w:val="566F1AFC"/>
    <w:rsid w:val="569C6BD2"/>
    <w:rsid w:val="56C22C62"/>
    <w:rsid w:val="582708F3"/>
    <w:rsid w:val="58677ADF"/>
    <w:rsid w:val="58B833F0"/>
    <w:rsid w:val="58D67D8C"/>
    <w:rsid w:val="58E10577"/>
    <w:rsid w:val="59165EF7"/>
    <w:rsid w:val="59702A12"/>
    <w:rsid w:val="59BB123D"/>
    <w:rsid w:val="5A0863B2"/>
    <w:rsid w:val="5AED2A9C"/>
    <w:rsid w:val="5B5D136E"/>
    <w:rsid w:val="5BC746C9"/>
    <w:rsid w:val="5C367280"/>
    <w:rsid w:val="5CC61F72"/>
    <w:rsid w:val="5CF206F7"/>
    <w:rsid w:val="5DA15203"/>
    <w:rsid w:val="5DF87A5C"/>
    <w:rsid w:val="5EA0340D"/>
    <w:rsid w:val="5ED66C3C"/>
    <w:rsid w:val="5F7A468D"/>
    <w:rsid w:val="5FDD643B"/>
    <w:rsid w:val="607249AE"/>
    <w:rsid w:val="60BA3E42"/>
    <w:rsid w:val="6194383B"/>
    <w:rsid w:val="61CB5375"/>
    <w:rsid w:val="623348CA"/>
    <w:rsid w:val="625421DB"/>
    <w:rsid w:val="62D51E7D"/>
    <w:rsid w:val="630E4B89"/>
    <w:rsid w:val="63D11B11"/>
    <w:rsid w:val="65337823"/>
    <w:rsid w:val="65492532"/>
    <w:rsid w:val="65CA685B"/>
    <w:rsid w:val="65CF34A7"/>
    <w:rsid w:val="65F660EF"/>
    <w:rsid w:val="6673798C"/>
    <w:rsid w:val="673905B6"/>
    <w:rsid w:val="681C3942"/>
    <w:rsid w:val="68460AAC"/>
    <w:rsid w:val="68AC1CFE"/>
    <w:rsid w:val="68EC626C"/>
    <w:rsid w:val="699C2364"/>
    <w:rsid w:val="6BCD1DE6"/>
    <w:rsid w:val="6BEB549A"/>
    <w:rsid w:val="6C505023"/>
    <w:rsid w:val="6CF41368"/>
    <w:rsid w:val="6D14299F"/>
    <w:rsid w:val="6D672A1E"/>
    <w:rsid w:val="6D6D7269"/>
    <w:rsid w:val="6DC237D1"/>
    <w:rsid w:val="6F40725E"/>
    <w:rsid w:val="6F4C2770"/>
    <w:rsid w:val="6F745D74"/>
    <w:rsid w:val="6FC476F6"/>
    <w:rsid w:val="711172CF"/>
    <w:rsid w:val="71FD54DD"/>
    <w:rsid w:val="72FD233C"/>
    <w:rsid w:val="734038C7"/>
    <w:rsid w:val="739A7F5B"/>
    <w:rsid w:val="7410294D"/>
    <w:rsid w:val="752B4572"/>
    <w:rsid w:val="76D71644"/>
    <w:rsid w:val="776C2FB6"/>
    <w:rsid w:val="77BC29AE"/>
    <w:rsid w:val="79982284"/>
    <w:rsid w:val="7998662D"/>
    <w:rsid w:val="79E11B14"/>
    <w:rsid w:val="7A2F2846"/>
    <w:rsid w:val="7A8C5878"/>
    <w:rsid w:val="7B3D118D"/>
    <w:rsid w:val="7B471854"/>
    <w:rsid w:val="7C552333"/>
    <w:rsid w:val="7CA86C55"/>
    <w:rsid w:val="7CF019C1"/>
    <w:rsid w:val="7D015527"/>
    <w:rsid w:val="7D461CAD"/>
    <w:rsid w:val="7D7D3A3E"/>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7">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6">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8">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13">
    <w:name w:val="heading 6"/>
    <w:basedOn w:val="1"/>
    <w:next w:val="10"/>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4">
    <w:name w:val="heading 7"/>
    <w:basedOn w:val="1"/>
    <w:next w:val="10"/>
    <w:link w:val="67"/>
    <w:qFormat/>
    <w:uiPriority w:val="9"/>
    <w:pPr>
      <w:keepNext/>
      <w:keepLines/>
      <w:numPr>
        <w:ilvl w:val="6"/>
        <w:numId w:val="1"/>
      </w:numPr>
      <w:spacing w:before="240" w:after="64" w:line="319" w:lineRule="auto"/>
      <w:outlineLvl w:val="6"/>
    </w:pPr>
    <w:rPr>
      <w:b/>
      <w:sz w:val="24"/>
    </w:rPr>
  </w:style>
  <w:style w:type="paragraph" w:styleId="15">
    <w:name w:val="heading 8"/>
    <w:basedOn w:val="1"/>
    <w:next w:val="10"/>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6">
    <w:name w:val="heading 9"/>
    <w:basedOn w:val="1"/>
    <w:next w:val="10"/>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3"/>
    <w:qFormat/>
    <w:uiPriority w:val="0"/>
    <w:pPr>
      <w:spacing w:after="160" w:line="360" w:lineRule="auto"/>
      <w:ind w:firstLine="480" w:firstLineChars="200"/>
    </w:pPr>
    <w:rPr>
      <w:kern w:val="0"/>
      <w:sz w:val="24"/>
    </w:rPr>
  </w:style>
  <w:style w:type="paragraph" w:styleId="3">
    <w:name w:val="Body Text Indent"/>
    <w:basedOn w:val="1"/>
    <w:next w:val="4"/>
    <w:link w:val="75"/>
    <w:autoRedefine/>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10">
    <w:name w:val="Normal Indent"/>
    <w:basedOn w:val="1"/>
    <w:next w:val="11"/>
    <w:link w:val="64"/>
    <w:autoRedefine/>
    <w:qFormat/>
    <w:uiPriority w:val="0"/>
    <w:pPr>
      <w:ind w:firstLine="420" w:firstLineChars="200"/>
    </w:pPr>
  </w:style>
  <w:style w:type="paragraph" w:styleId="11">
    <w:name w:val="Body Text"/>
    <w:basedOn w:val="1"/>
    <w:next w:val="12"/>
    <w:link w:val="72"/>
    <w:qFormat/>
    <w:uiPriority w:val="0"/>
    <w:pPr>
      <w:spacing w:after="120"/>
    </w:pPr>
  </w:style>
  <w:style w:type="paragraph" w:styleId="12">
    <w:name w:val="Title"/>
    <w:basedOn w:val="1"/>
    <w:next w:val="1"/>
    <w:link w:val="82"/>
    <w:autoRedefine/>
    <w:qFormat/>
    <w:uiPriority w:val="0"/>
    <w:pPr>
      <w:spacing w:before="240" w:after="60"/>
      <w:jc w:val="center"/>
      <w:outlineLvl w:val="0"/>
    </w:pPr>
    <w:rPr>
      <w:rFonts w:ascii="Arial" w:hAnsi="Arial" w:eastAsia="隶书"/>
      <w:b/>
      <w:bCs/>
      <w:sz w:val="32"/>
      <w:szCs w:val="32"/>
    </w:rPr>
  </w:style>
  <w:style w:type="paragraph" w:styleId="17">
    <w:name w:val="toc 7"/>
    <w:basedOn w:val="1"/>
    <w:next w:val="1"/>
    <w:autoRedefine/>
    <w:qFormat/>
    <w:uiPriority w:val="0"/>
    <w:pPr>
      <w:ind w:left="1260"/>
      <w:jc w:val="left"/>
    </w:pPr>
    <w:rPr>
      <w:szCs w:val="21"/>
    </w:rPr>
  </w:style>
  <w:style w:type="paragraph" w:styleId="18">
    <w:name w:val="List Number 2"/>
    <w:basedOn w:val="1"/>
    <w:autoRedefine/>
    <w:qFormat/>
    <w:uiPriority w:val="0"/>
    <w:pPr>
      <w:tabs>
        <w:tab w:val="left" w:pos="780"/>
      </w:tabs>
      <w:ind w:left="780" w:hanging="360"/>
    </w:pPr>
    <w:rPr>
      <w:szCs w:val="20"/>
    </w:rPr>
  </w:style>
  <w:style w:type="paragraph" w:styleId="19">
    <w:name w:val="List Bullet 4"/>
    <w:basedOn w:val="1"/>
    <w:autoRedefine/>
    <w:qFormat/>
    <w:uiPriority w:val="0"/>
    <w:pPr>
      <w:tabs>
        <w:tab w:val="left" w:pos="425"/>
        <w:tab w:val="left" w:pos="1620"/>
      </w:tabs>
      <w:ind w:left="425" w:hanging="425"/>
    </w:pPr>
    <w:rPr>
      <w:szCs w:val="20"/>
    </w:rPr>
  </w:style>
  <w:style w:type="paragraph" w:styleId="20">
    <w:name w:val="caption"/>
    <w:basedOn w:val="1"/>
    <w:next w:val="1"/>
    <w:link w:val="298"/>
    <w:autoRedefine/>
    <w:qFormat/>
    <w:uiPriority w:val="0"/>
    <w:rPr>
      <w:rFonts w:ascii="Cambria" w:hAnsi="Cambria" w:eastAsia="黑体"/>
    </w:rPr>
  </w:style>
  <w:style w:type="paragraph" w:styleId="21">
    <w:name w:val="List Bullet"/>
    <w:basedOn w:val="1"/>
    <w:qFormat/>
    <w:uiPriority w:val="0"/>
    <w:pPr>
      <w:numPr>
        <w:ilvl w:val="0"/>
        <w:numId w:val="1"/>
      </w:numPr>
      <w:tabs>
        <w:tab w:val="left" w:pos="360"/>
        <w:tab w:val="clear" w:pos="371"/>
      </w:tabs>
    </w:pPr>
    <w:rPr>
      <w:szCs w:val="20"/>
    </w:rPr>
  </w:style>
  <w:style w:type="paragraph" w:styleId="22">
    <w:name w:val="Document Map"/>
    <w:basedOn w:val="1"/>
    <w:link w:val="74"/>
    <w:autoRedefine/>
    <w:qFormat/>
    <w:uiPriority w:val="0"/>
    <w:pPr>
      <w:shd w:val="clear" w:color="auto" w:fill="000080"/>
    </w:pPr>
  </w:style>
  <w:style w:type="paragraph" w:styleId="23">
    <w:name w:val="annotation text"/>
    <w:basedOn w:val="1"/>
    <w:link w:val="70"/>
    <w:qFormat/>
    <w:uiPriority w:val="0"/>
    <w:pPr>
      <w:jc w:val="left"/>
    </w:pPr>
  </w:style>
  <w:style w:type="paragraph" w:styleId="24">
    <w:name w:val="Body Text 3"/>
    <w:basedOn w:val="1"/>
    <w:link w:val="459"/>
    <w:unhideWhenUsed/>
    <w:qFormat/>
    <w:uiPriority w:val="0"/>
    <w:pPr>
      <w:spacing w:after="120"/>
    </w:pPr>
    <w:rPr>
      <w:sz w:val="16"/>
      <w:szCs w:val="16"/>
    </w:rPr>
  </w:style>
  <w:style w:type="paragraph" w:styleId="25">
    <w:name w:val="Block Text"/>
    <w:basedOn w:val="1"/>
    <w:autoRedefine/>
    <w:qFormat/>
    <w:uiPriority w:val="0"/>
    <w:pPr>
      <w:spacing w:after="120"/>
      <w:ind w:left="1440" w:leftChars="700" w:right="1440" w:rightChars="700"/>
    </w:pPr>
  </w:style>
  <w:style w:type="paragraph" w:styleId="26">
    <w:name w:val="List Bullet 2"/>
    <w:basedOn w:val="1"/>
    <w:qFormat/>
    <w:uiPriority w:val="0"/>
    <w:pPr>
      <w:numPr>
        <w:ilvl w:val="0"/>
        <w:numId w:val="2"/>
      </w:numPr>
      <w:tabs>
        <w:tab w:val="left" w:pos="780"/>
      </w:tabs>
    </w:pPr>
    <w:rPr>
      <w:szCs w:val="20"/>
    </w:rPr>
  </w:style>
  <w:style w:type="paragraph" w:styleId="27">
    <w:name w:val="toc 5"/>
    <w:basedOn w:val="1"/>
    <w:next w:val="1"/>
    <w:autoRedefine/>
    <w:qFormat/>
    <w:uiPriority w:val="0"/>
    <w:pPr>
      <w:ind w:left="840"/>
      <w:jc w:val="left"/>
    </w:pPr>
    <w:rPr>
      <w:szCs w:val="21"/>
    </w:rPr>
  </w:style>
  <w:style w:type="paragraph" w:styleId="28">
    <w:name w:val="toc 3"/>
    <w:basedOn w:val="1"/>
    <w:next w:val="1"/>
    <w:autoRedefine/>
    <w:qFormat/>
    <w:uiPriority w:val="39"/>
    <w:pPr>
      <w:ind w:left="420"/>
      <w:jc w:val="left"/>
    </w:pPr>
    <w:rPr>
      <w:iCs/>
    </w:rPr>
  </w:style>
  <w:style w:type="paragraph" w:styleId="29">
    <w:name w:val="Plain Text"/>
    <w:basedOn w:val="1"/>
    <w:link w:val="76"/>
    <w:autoRedefine/>
    <w:qFormat/>
    <w:uiPriority w:val="0"/>
    <w:rPr>
      <w:rFonts w:ascii="宋体" w:hAnsi="Courier New"/>
      <w:szCs w:val="20"/>
    </w:rPr>
  </w:style>
  <w:style w:type="paragraph" w:styleId="30">
    <w:name w:val="toc 8"/>
    <w:basedOn w:val="1"/>
    <w:next w:val="1"/>
    <w:autoRedefine/>
    <w:qFormat/>
    <w:uiPriority w:val="0"/>
    <w:pPr>
      <w:ind w:left="1470"/>
      <w:jc w:val="left"/>
    </w:pPr>
    <w:rPr>
      <w:szCs w:val="21"/>
    </w:rPr>
  </w:style>
  <w:style w:type="paragraph" w:styleId="31">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2">
    <w:name w:val="Body Text Indent 2"/>
    <w:basedOn w:val="1"/>
    <w:link w:val="77"/>
    <w:autoRedefine/>
    <w:qFormat/>
    <w:uiPriority w:val="0"/>
    <w:pPr>
      <w:spacing w:after="120" w:line="480" w:lineRule="auto"/>
      <w:ind w:left="420" w:leftChars="200"/>
    </w:pPr>
  </w:style>
  <w:style w:type="paragraph" w:styleId="33">
    <w:name w:val="Balloon Text"/>
    <w:basedOn w:val="1"/>
    <w:link w:val="78"/>
    <w:autoRedefine/>
    <w:qFormat/>
    <w:uiPriority w:val="0"/>
    <w:rPr>
      <w:sz w:val="18"/>
      <w:szCs w:val="18"/>
    </w:rPr>
  </w:style>
  <w:style w:type="paragraph" w:styleId="34">
    <w:name w:val="footer"/>
    <w:basedOn w:val="1"/>
    <w:link w:val="79"/>
    <w:autoRedefine/>
    <w:qFormat/>
    <w:uiPriority w:val="99"/>
    <w:pPr>
      <w:tabs>
        <w:tab w:val="center" w:pos="4153"/>
        <w:tab w:val="right" w:pos="8306"/>
      </w:tabs>
      <w:snapToGrid w:val="0"/>
      <w:jc w:val="left"/>
    </w:pPr>
    <w:rPr>
      <w:sz w:val="18"/>
      <w:szCs w:val="18"/>
    </w:rPr>
  </w:style>
  <w:style w:type="paragraph" w:styleId="35">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288"/>
    <w:autoRedefine/>
    <w:qFormat/>
    <w:uiPriority w:val="0"/>
    <w:pPr>
      <w:ind w:left="4320"/>
    </w:pPr>
    <w:rPr>
      <w:rFonts w:eastAsia="楷体_GB2312"/>
      <w:szCs w:val="20"/>
    </w:rPr>
  </w:style>
  <w:style w:type="paragraph" w:styleId="37">
    <w:name w:val="toc 1"/>
    <w:basedOn w:val="1"/>
    <w:next w:val="1"/>
    <w:qFormat/>
    <w:uiPriority w:val="39"/>
    <w:pPr>
      <w:spacing w:before="120" w:after="120"/>
      <w:jc w:val="left"/>
    </w:pPr>
    <w:rPr>
      <w:b/>
      <w:bCs/>
      <w:caps/>
    </w:rPr>
  </w:style>
  <w:style w:type="paragraph" w:styleId="38">
    <w:name w:val="toc 4"/>
    <w:basedOn w:val="1"/>
    <w:next w:val="1"/>
    <w:autoRedefine/>
    <w:qFormat/>
    <w:uiPriority w:val="0"/>
    <w:pPr>
      <w:ind w:left="630"/>
      <w:jc w:val="left"/>
    </w:pPr>
    <w:rPr>
      <w:szCs w:val="21"/>
    </w:rPr>
  </w:style>
  <w:style w:type="paragraph" w:styleId="39">
    <w:name w:val="index heading"/>
    <w:basedOn w:val="1"/>
    <w:next w:val="40"/>
    <w:autoRedefine/>
    <w:qFormat/>
    <w:uiPriority w:val="0"/>
    <w:rPr>
      <w:szCs w:val="20"/>
    </w:rPr>
  </w:style>
  <w:style w:type="paragraph" w:styleId="40">
    <w:name w:val="index 1"/>
    <w:basedOn w:val="1"/>
    <w:next w:val="1"/>
    <w:autoRedefine/>
    <w:qFormat/>
    <w:uiPriority w:val="0"/>
  </w:style>
  <w:style w:type="paragraph" w:styleId="41">
    <w:name w:val="footnote text"/>
    <w:basedOn w:val="1"/>
    <w:link w:val="482"/>
    <w:autoRedefine/>
    <w:qFormat/>
    <w:uiPriority w:val="0"/>
    <w:pPr>
      <w:snapToGrid w:val="0"/>
      <w:jc w:val="left"/>
    </w:pPr>
    <w:rPr>
      <w:sz w:val="18"/>
      <w:szCs w:val="18"/>
    </w:rPr>
  </w:style>
  <w:style w:type="paragraph" w:styleId="42">
    <w:name w:val="toc 6"/>
    <w:basedOn w:val="1"/>
    <w:next w:val="1"/>
    <w:autoRedefine/>
    <w:qFormat/>
    <w:uiPriority w:val="0"/>
    <w:pPr>
      <w:ind w:left="1050"/>
      <w:jc w:val="left"/>
    </w:pPr>
    <w:rPr>
      <w:szCs w:val="21"/>
    </w:rPr>
  </w:style>
  <w:style w:type="paragraph" w:styleId="43">
    <w:name w:val="Body Text Indent 3"/>
    <w:basedOn w:val="1"/>
    <w:link w:val="314"/>
    <w:qFormat/>
    <w:uiPriority w:val="0"/>
    <w:pPr>
      <w:ind w:firstLine="426"/>
    </w:pPr>
    <w:rPr>
      <w:szCs w:val="20"/>
    </w:rPr>
  </w:style>
  <w:style w:type="paragraph" w:styleId="44">
    <w:name w:val="toc 2"/>
    <w:basedOn w:val="1"/>
    <w:next w:val="1"/>
    <w:autoRedefine/>
    <w:qFormat/>
    <w:uiPriority w:val="39"/>
    <w:pPr>
      <w:ind w:left="210"/>
      <w:jc w:val="left"/>
    </w:pPr>
    <w:rPr>
      <w:smallCaps/>
    </w:rPr>
  </w:style>
  <w:style w:type="paragraph" w:styleId="45">
    <w:name w:val="toc 9"/>
    <w:basedOn w:val="1"/>
    <w:next w:val="1"/>
    <w:autoRedefine/>
    <w:qFormat/>
    <w:uiPriority w:val="0"/>
    <w:pPr>
      <w:ind w:left="1680"/>
      <w:jc w:val="left"/>
    </w:pPr>
    <w:rPr>
      <w:szCs w:val="21"/>
    </w:rPr>
  </w:style>
  <w:style w:type="paragraph" w:styleId="46">
    <w:name w:val="Body Text 2"/>
    <w:basedOn w:val="1"/>
    <w:link w:val="307"/>
    <w:autoRedefine/>
    <w:qFormat/>
    <w:uiPriority w:val="0"/>
    <w:rPr>
      <w:sz w:val="28"/>
      <w:szCs w:val="20"/>
    </w:rPr>
  </w:style>
  <w:style w:type="paragraph" w:styleId="4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autoRedefine/>
    <w:qFormat/>
    <w:uiPriority w:val="99"/>
    <w:pPr>
      <w:widowControl/>
      <w:spacing w:before="100" w:beforeAutospacing="1" w:after="100" w:afterAutospacing="1"/>
      <w:jc w:val="left"/>
    </w:pPr>
    <w:rPr>
      <w:kern w:val="0"/>
      <w:sz w:val="24"/>
    </w:rPr>
  </w:style>
  <w:style w:type="paragraph" w:styleId="49">
    <w:name w:val="annotation subject"/>
    <w:basedOn w:val="23"/>
    <w:next w:val="23"/>
    <w:link w:val="71"/>
    <w:qFormat/>
    <w:uiPriority w:val="0"/>
    <w:rPr>
      <w:b/>
      <w:bCs/>
    </w:rPr>
  </w:style>
  <w:style w:type="paragraph" w:styleId="50">
    <w:name w:val="Body Text First Indent"/>
    <w:basedOn w:val="11"/>
    <w:link w:val="73"/>
    <w:autoRedefine/>
    <w:qFormat/>
    <w:uiPriority w:val="0"/>
    <w:pPr>
      <w:ind w:firstLine="420" w:firstLineChars="100"/>
    </w:p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autoRedefine/>
    <w:qFormat/>
    <w:uiPriority w:val="22"/>
    <w:rPr>
      <w:b/>
      <w:bCs/>
    </w:rPr>
  </w:style>
  <w:style w:type="character" w:styleId="55">
    <w:name w:val="page number"/>
    <w:basedOn w:val="53"/>
    <w:autoRedefine/>
    <w:qFormat/>
    <w:uiPriority w:val="0"/>
  </w:style>
  <w:style w:type="character" w:styleId="56">
    <w:name w:val="FollowedHyperlink"/>
    <w:basedOn w:val="53"/>
    <w:autoRedefine/>
    <w:unhideWhenUsed/>
    <w:qFormat/>
    <w:uiPriority w:val="0"/>
    <w:rPr>
      <w:color w:val="800080"/>
      <w:u w:val="single"/>
    </w:rPr>
  </w:style>
  <w:style w:type="character" w:styleId="57">
    <w:name w:val="Emphasis"/>
    <w:basedOn w:val="53"/>
    <w:autoRedefine/>
    <w:qFormat/>
    <w:uiPriority w:val="20"/>
    <w:rPr>
      <w:i/>
      <w:iCs/>
    </w:rPr>
  </w:style>
  <w:style w:type="character" w:styleId="58">
    <w:name w:val="Hyperlink"/>
    <w:autoRedefine/>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6"/>
    <w:qFormat/>
    <w:uiPriority w:val="0"/>
    <w:rPr>
      <w:b/>
      <w:bCs/>
      <w:kern w:val="2"/>
      <w:sz w:val="24"/>
      <w:szCs w:val="32"/>
    </w:rPr>
  </w:style>
  <w:style w:type="character" w:customStyle="1" w:styleId="61">
    <w:name w:val="标题 1 Char"/>
    <w:basedOn w:val="53"/>
    <w:link w:val="5"/>
    <w:qFormat/>
    <w:uiPriority w:val="0"/>
    <w:rPr>
      <w:rFonts w:eastAsiaTheme="minorEastAsia"/>
      <w:b/>
      <w:kern w:val="44"/>
      <w:sz w:val="44"/>
      <w:szCs w:val="28"/>
    </w:rPr>
  </w:style>
  <w:style w:type="character" w:customStyle="1" w:styleId="62">
    <w:name w:val="标题 2 Char"/>
    <w:basedOn w:val="53"/>
    <w:link w:val="7"/>
    <w:autoRedefine/>
    <w:qFormat/>
    <w:uiPriority w:val="0"/>
    <w:rPr>
      <w:rFonts w:ascii="Arial" w:hAnsi="Arial" w:eastAsiaTheme="minorEastAsia"/>
      <w:b/>
      <w:bCs/>
      <w:kern w:val="2"/>
      <w:sz w:val="28"/>
      <w:szCs w:val="32"/>
    </w:rPr>
  </w:style>
  <w:style w:type="character" w:customStyle="1" w:styleId="63">
    <w:name w:val="标题 4 Char1"/>
    <w:basedOn w:val="53"/>
    <w:link w:val="8"/>
    <w:qFormat/>
    <w:uiPriority w:val="99"/>
    <w:rPr>
      <w:rFonts w:ascii="Arial" w:hAnsi="Arial" w:eastAsia="黑体"/>
      <w:b/>
      <w:bCs/>
      <w:kern w:val="2"/>
      <w:sz w:val="28"/>
      <w:szCs w:val="28"/>
    </w:rPr>
  </w:style>
  <w:style w:type="character" w:customStyle="1" w:styleId="64">
    <w:name w:val="正文缩进 Char"/>
    <w:link w:val="10"/>
    <w:qFormat/>
    <w:uiPriority w:val="0"/>
    <w:rPr>
      <w:rFonts w:eastAsia="宋体"/>
      <w:kern w:val="2"/>
      <w:sz w:val="21"/>
      <w:szCs w:val="24"/>
      <w:lang w:val="en-US" w:eastAsia="zh-CN" w:bidi="ar-SA"/>
    </w:rPr>
  </w:style>
  <w:style w:type="character" w:customStyle="1" w:styleId="65">
    <w:name w:val="标题 5 Char1"/>
    <w:basedOn w:val="53"/>
    <w:link w:val="9"/>
    <w:autoRedefine/>
    <w:qFormat/>
    <w:uiPriority w:val="0"/>
    <w:rPr>
      <w:b/>
      <w:kern w:val="2"/>
      <w:sz w:val="28"/>
      <w:szCs w:val="24"/>
    </w:rPr>
  </w:style>
  <w:style w:type="character" w:customStyle="1" w:styleId="66">
    <w:name w:val="标题 6 Char1"/>
    <w:basedOn w:val="53"/>
    <w:link w:val="13"/>
    <w:autoRedefine/>
    <w:qFormat/>
    <w:uiPriority w:val="9"/>
    <w:rPr>
      <w:rFonts w:ascii="Arial" w:hAnsi="Arial" w:eastAsia="黑体"/>
      <w:b/>
      <w:kern w:val="2"/>
      <w:sz w:val="24"/>
      <w:szCs w:val="24"/>
    </w:rPr>
  </w:style>
  <w:style w:type="character" w:customStyle="1" w:styleId="67">
    <w:name w:val="标题 7 Char1"/>
    <w:basedOn w:val="53"/>
    <w:link w:val="14"/>
    <w:autoRedefine/>
    <w:qFormat/>
    <w:uiPriority w:val="9"/>
    <w:rPr>
      <w:b/>
      <w:kern w:val="2"/>
      <w:sz w:val="24"/>
      <w:szCs w:val="24"/>
    </w:rPr>
  </w:style>
  <w:style w:type="character" w:customStyle="1" w:styleId="68">
    <w:name w:val="标题 8 Char1"/>
    <w:basedOn w:val="53"/>
    <w:link w:val="15"/>
    <w:autoRedefine/>
    <w:qFormat/>
    <w:uiPriority w:val="9"/>
    <w:rPr>
      <w:rFonts w:ascii="Arial" w:hAnsi="Arial" w:eastAsia="黑体"/>
      <w:kern w:val="2"/>
      <w:sz w:val="24"/>
      <w:szCs w:val="24"/>
    </w:rPr>
  </w:style>
  <w:style w:type="character" w:customStyle="1" w:styleId="69">
    <w:name w:val="标题 9 Char1"/>
    <w:basedOn w:val="53"/>
    <w:link w:val="16"/>
    <w:autoRedefine/>
    <w:qFormat/>
    <w:uiPriority w:val="0"/>
    <w:rPr>
      <w:rFonts w:ascii="Arial" w:hAnsi="Arial" w:eastAsia="黑体"/>
      <w:kern w:val="2"/>
      <w:sz w:val="21"/>
      <w:szCs w:val="24"/>
    </w:rPr>
  </w:style>
  <w:style w:type="character" w:customStyle="1" w:styleId="70">
    <w:name w:val="批注文字 Char"/>
    <w:link w:val="23"/>
    <w:autoRedefine/>
    <w:qFormat/>
    <w:uiPriority w:val="0"/>
    <w:rPr>
      <w:kern w:val="2"/>
      <w:sz w:val="21"/>
      <w:szCs w:val="24"/>
    </w:rPr>
  </w:style>
  <w:style w:type="character" w:customStyle="1" w:styleId="71">
    <w:name w:val="批注主题 Char"/>
    <w:basedOn w:val="70"/>
    <w:link w:val="49"/>
    <w:autoRedefine/>
    <w:qFormat/>
    <w:uiPriority w:val="0"/>
    <w:rPr>
      <w:b/>
      <w:bCs/>
      <w:kern w:val="2"/>
      <w:sz w:val="21"/>
      <w:szCs w:val="24"/>
    </w:rPr>
  </w:style>
  <w:style w:type="character" w:customStyle="1" w:styleId="72">
    <w:name w:val="正文文本 Char"/>
    <w:basedOn w:val="53"/>
    <w:link w:val="11"/>
    <w:autoRedefine/>
    <w:qFormat/>
    <w:uiPriority w:val="0"/>
    <w:rPr>
      <w:kern w:val="2"/>
      <w:sz w:val="21"/>
      <w:szCs w:val="24"/>
    </w:rPr>
  </w:style>
  <w:style w:type="character" w:customStyle="1" w:styleId="73">
    <w:name w:val="正文首行缩进 Char"/>
    <w:link w:val="50"/>
    <w:autoRedefine/>
    <w:qFormat/>
    <w:uiPriority w:val="0"/>
    <w:rPr>
      <w:rFonts w:eastAsia="宋体"/>
      <w:kern w:val="2"/>
      <w:sz w:val="21"/>
      <w:szCs w:val="24"/>
      <w:lang w:val="en-US" w:eastAsia="zh-CN" w:bidi="ar-SA"/>
    </w:rPr>
  </w:style>
  <w:style w:type="character" w:customStyle="1" w:styleId="74">
    <w:name w:val="文档结构图 Char"/>
    <w:basedOn w:val="53"/>
    <w:link w:val="22"/>
    <w:autoRedefine/>
    <w:qFormat/>
    <w:uiPriority w:val="0"/>
    <w:rPr>
      <w:kern w:val="2"/>
      <w:sz w:val="21"/>
      <w:szCs w:val="24"/>
      <w:shd w:val="clear" w:color="auto" w:fill="000080"/>
    </w:rPr>
  </w:style>
  <w:style w:type="character" w:customStyle="1" w:styleId="75">
    <w:name w:val="正文文本缩进 Char1"/>
    <w:basedOn w:val="53"/>
    <w:link w:val="3"/>
    <w:autoRedefine/>
    <w:qFormat/>
    <w:uiPriority w:val="0"/>
    <w:rPr>
      <w:kern w:val="2"/>
      <w:sz w:val="21"/>
      <w:szCs w:val="24"/>
    </w:rPr>
  </w:style>
  <w:style w:type="character" w:customStyle="1" w:styleId="76">
    <w:name w:val="纯文本 Char"/>
    <w:link w:val="29"/>
    <w:autoRedefine/>
    <w:qFormat/>
    <w:uiPriority w:val="0"/>
    <w:rPr>
      <w:rFonts w:ascii="宋体" w:hAnsi="Courier New" w:eastAsia="宋体"/>
      <w:kern w:val="2"/>
      <w:sz w:val="21"/>
      <w:lang w:val="en-US" w:eastAsia="zh-CN" w:bidi="ar-SA"/>
    </w:rPr>
  </w:style>
  <w:style w:type="character" w:customStyle="1" w:styleId="77">
    <w:name w:val="正文文本缩进 2 Char1"/>
    <w:link w:val="32"/>
    <w:autoRedefine/>
    <w:qFormat/>
    <w:uiPriority w:val="0"/>
    <w:rPr>
      <w:kern w:val="2"/>
      <w:sz w:val="21"/>
      <w:szCs w:val="24"/>
    </w:rPr>
  </w:style>
  <w:style w:type="character" w:customStyle="1" w:styleId="78">
    <w:name w:val="批注框文本 Char"/>
    <w:basedOn w:val="53"/>
    <w:link w:val="33"/>
    <w:autoRedefine/>
    <w:qFormat/>
    <w:uiPriority w:val="99"/>
    <w:rPr>
      <w:kern w:val="2"/>
      <w:sz w:val="18"/>
      <w:szCs w:val="18"/>
    </w:rPr>
  </w:style>
  <w:style w:type="character" w:customStyle="1" w:styleId="79">
    <w:name w:val="页脚 Char"/>
    <w:basedOn w:val="53"/>
    <w:link w:val="34"/>
    <w:autoRedefine/>
    <w:qFormat/>
    <w:uiPriority w:val="99"/>
    <w:rPr>
      <w:kern w:val="2"/>
      <w:sz w:val="18"/>
      <w:szCs w:val="18"/>
    </w:rPr>
  </w:style>
  <w:style w:type="character" w:customStyle="1" w:styleId="80">
    <w:name w:val="页眉 Char"/>
    <w:link w:val="35"/>
    <w:autoRedefine/>
    <w:qFormat/>
    <w:uiPriority w:val="99"/>
    <w:rPr>
      <w:kern w:val="2"/>
      <w:sz w:val="18"/>
      <w:szCs w:val="18"/>
    </w:rPr>
  </w:style>
  <w:style w:type="character" w:customStyle="1" w:styleId="81">
    <w:name w:val="HTML 预设格式 Char1"/>
    <w:link w:val="47"/>
    <w:autoRedefine/>
    <w:qFormat/>
    <w:uiPriority w:val="0"/>
    <w:rPr>
      <w:rFonts w:ascii="宋体" w:hAnsi="宋体" w:cs="宋体"/>
      <w:sz w:val="24"/>
      <w:szCs w:val="24"/>
    </w:rPr>
  </w:style>
  <w:style w:type="character" w:customStyle="1" w:styleId="82">
    <w:name w:val="标题 Char"/>
    <w:link w:val="12"/>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12"/>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autoRedefine/>
    <w:qFormat/>
    <w:uiPriority w:val="0"/>
    <w:rPr>
      <w:rFonts w:hint="eastAsia" w:ascii="仿宋_GB2312" w:eastAsia="仿宋_GB2312" w:cs="仿宋_GB2312"/>
      <w:color w:val="000000"/>
      <w:sz w:val="20"/>
      <w:szCs w:val="20"/>
      <w:u w:val="none"/>
    </w:rPr>
  </w:style>
  <w:style w:type="character" w:customStyle="1" w:styleId="168">
    <w:name w:val="font31"/>
    <w:basedOn w:val="53"/>
    <w:autoRedefine/>
    <w:qFormat/>
    <w:uiPriority w:val="0"/>
    <w:rPr>
      <w:rFonts w:hint="default" w:ascii="Symbol" w:hAnsi="Symbol" w:cs="Symbol"/>
      <w:color w:val="000000"/>
      <w:sz w:val="20"/>
      <w:szCs w:val="20"/>
      <w:u w:val="none"/>
    </w:rPr>
  </w:style>
  <w:style w:type="character" w:customStyle="1" w:styleId="169">
    <w:name w:val="font71"/>
    <w:basedOn w:val="53"/>
    <w:autoRedefine/>
    <w:qFormat/>
    <w:uiPriority w:val="0"/>
    <w:rPr>
      <w:rFonts w:ascii="Arial" w:hAnsi="Arial" w:cs="Arial"/>
      <w:color w:val="000000"/>
      <w:sz w:val="20"/>
      <w:szCs w:val="20"/>
      <w:u w:val="none"/>
    </w:rPr>
  </w:style>
  <w:style w:type="character" w:customStyle="1" w:styleId="170">
    <w:name w:val="font21"/>
    <w:basedOn w:val="53"/>
    <w:autoRedefine/>
    <w:qFormat/>
    <w:uiPriority w:val="0"/>
    <w:rPr>
      <w:rFonts w:hint="default" w:ascii="Symbol" w:hAnsi="Symbol" w:cs="Symbol"/>
      <w:color w:val="000000"/>
      <w:sz w:val="20"/>
      <w:szCs w:val="20"/>
      <w:u w:val="none"/>
    </w:rPr>
  </w:style>
  <w:style w:type="character" w:customStyle="1" w:styleId="171">
    <w:name w:val="font91"/>
    <w:basedOn w:val="53"/>
    <w:autoRedefine/>
    <w:qFormat/>
    <w:uiPriority w:val="0"/>
    <w:rPr>
      <w:rFonts w:ascii="Arial" w:hAnsi="Arial" w:cs="Arial"/>
      <w:color w:val="000000"/>
      <w:sz w:val="20"/>
      <w:szCs w:val="20"/>
      <w:u w:val="none"/>
    </w:rPr>
  </w:style>
  <w:style w:type="character" w:customStyle="1" w:styleId="172">
    <w:name w:val="font51"/>
    <w:basedOn w:val="53"/>
    <w:autoRedefine/>
    <w:qFormat/>
    <w:uiPriority w:val="0"/>
    <w:rPr>
      <w:rFonts w:ascii="仿宋" w:hAnsi="仿宋" w:eastAsia="仿宋" w:cs="仿宋"/>
      <w:color w:val="000000"/>
      <w:sz w:val="21"/>
      <w:szCs w:val="21"/>
      <w:u w:val="none"/>
    </w:rPr>
  </w:style>
  <w:style w:type="character" w:customStyle="1" w:styleId="173">
    <w:name w:val="font101"/>
    <w:basedOn w:val="53"/>
    <w:autoRedefine/>
    <w:qFormat/>
    <w:uiPriority w:val="0"/>
    <w:rPr>
      <w:rFonts w:hint="eastAsia" w:ascii="仿宋_GB2312" w:eastAsia="仿宋_GB2312" w:cs="仿宋_GB2312"/>
      <w:color w:val="000000"/>
      <w:sz w:val="20"/>
      <w:szCs w:val="20"/>
      <w:u w:val="none"/>
    </w:rPr>
  </w:style>
  <w:style w:type="character" w:customStyle="1" w:styleId="174">
    <w:name w:val="font61"/>
    <w:basedOn w:val="53"/>
    <w:autoRedefine/>
    <w:qFormat/>
    <w:uiPriority w:val="0"/>
    <w:rPr>
      <w:rFonts w:hint="eastAsia" w:ascii="宋体" w:hAnsi="宋体" w:eastAsia="宋体" w:cs="宋体"/>
      <w:color w:val="000000"/>
      <w:sz w:val="20"/>
      <w:szCs w:val="20"/>
      <w:u w:val="none"/>
    </w:rPr>
  </w:style>
  <w:style w:type="character" w:customStyle="1" w:styleId="175">
    <w:name w:val="font81"/>
    <w:basedOn w:val="53"/>
    <w:autoRedefine/>
    <w:qFormat/>
    <w:uiPriority w:val="0"/>
    <w:rPr>
      <w:rFonts w:hint="eastAsia" w:ascii="仿宋" w:hAnsi="仿宋" w:eastAsia="仿宋" w:cs="仿宋"/>
      <w:color w:val="000000"/>
      <w:sz w:val="21"/>
      <w:szCs w:val="21"/>
      <w:u w:val="none"/>
    </w:rPr>
  </w:style>
  <w:style w:type="character" w:customStyle="1" w:styleId="176">
    <w:name w:val="font111"/>
    <w:basedOn w:val="53"/>
    <w:autoRedefine/>
    <w:qFormat/>
    <w:uiPriority w:val="0"/>
    <w:rPr>
      <w:rFonts w:hint="eastAsia" w:ascii="仿宋_GB2312" w:eastAsia="仿宋_GB2312" w:cs="仿宋_GB2312"/>
      <w:color w:val="000000"/>
      <w:sz w:val="21"/>
      <w:szCs w:val="21"/>
      <w:u w:val="none"/>
    </w:rPr>
  </w:style>
  <w:style w:type="character" w:customStyle="1" w:styleId="177">
    <w:name w:val="font121"/>
    <w:basedOn w:val="53"/>
    <w:autoRedefine/>
    <w:qFormat/>
    <w:uiPriority w:val="0"/>
    <w:rPr>
      <w:rFonts w:ascii="Arial" w:hAnsi="Arial" w:cs="Arial"/>
      <w:color w:val="000000"/>
      <w:sz w:val="20"/>
      <w:szCs w:val="20"/>
      <w:u w:val="none"/>
    </w:rPr>
  </w:style>
  <w:style w:type="character" w:customStyle="1" w:styleId="178">
    <w:name w:val="font112"/>
    <w:basedOn w:val="53"/>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autoRedefine/>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autoRedefine/>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6"/>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6"/>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2"/>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20"/>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8"/>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46"/>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3"/>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31"/>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7"/>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3"/>
    <w:autoRedefine/>
    <w:semiHidden/>
    <w:qFormat/>
    <w:uiPriority w:val="0"/>
    <w:rPr>
      <w:kern w:val="2"/>
      <w:sz w:val="21"/>
      <w:szCs w:val="24"/>
    </w:rPr>
  </w:style>
  <w:style w:type="character" w:customStyle="1" w:styleId="349">
    <w:name w:val="标题 字符1"/>
    <w:basedOn w:val="53"/>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3"/>
    <w:autoRedefine/>
    <w:semiHidden/>
    <w:qFormat/>
    <w:uiPriority w:val="0"/>
    <w:rPr>
      <w:kern w:val="2"/>
      <w:sz w:val="21"/>
      <w:szCs w:val="24"/>
    </w:rPr>
  </w:style>
  <w:style w:type="character" w:customStyle="1" w:styleId="352">
    <w:name w:val="正文文本缩进 3 Char2"/>
    <w:basedOn w:val="53"/>
    <w:autoRedefine/>
    <w:semiHidden/>
    <w:qFormat/>
    <w:uiPriority w:val="0"/>
    <w:rPr>
      <w:kern w:val="2"/>
      <w:sz w:val="16"/>
      <w:szCs w:val="16"/>
    </w:rPr>
  </w:style>
  <w:style w:type="character" w:customStyle="1" w:styleId="353">
    <w:name w:val="日期 Char2"/>
    <w:basedOn w:val="53"/>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9"/>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8"/>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7"/>
    <w:autoRedefine/>
    <w:qFormat/>
    <w:uiPriority w:val="0"/>
    <w:pPr>
      <w:tabs>
        <w:tab w:val="right" w:leader="dot" w:pos="9458"/>
      </w:tabs>
    </w:pPr>
    <w:rPr>
      <w:b w:val="0"/>
    </w:rPr>
  </w:style>
  <w:style w:type="paragraph" w:customStyle="1" w:styleId="370">
    <w:name w:val="TOC 标题1"/>
    <w:basedOn w:val="5"/>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6"/>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8"/>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5"/>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8"/>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Char"/>
    <w:basedOn w:val="53"/>
    <w:link w:val="24"/>
    <w:autoRedefine/>
    <w:qFormat/>
    <w:uiPriority w:val="0"/>
    <w:rPr>
      <w:kern w:val="2"/>
      <w:sz w:val="16"/>
      <w:szCs w:val="16"/>
    </w:rPr>
  </w:style>
  <w:style w:type="character" w:customStyle="1" w:styleId="460">
    <w:name w:val="content"/>
    <w:basedOn w:val="53"/>
    <w:qFormat/>
    <w:uiPriority w:val="0"/>
  </w:style>
  <w:style w:type="character" w:customStyle="1" w:styleId="461">
    <w:name w:val="ca-3"/>
    <w:basedOn w:val="53"/>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link w:val="41"/>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3"/>
    <w:autoRedefine/>
    <w:qFormat/>
    <w:uiPriority w:val="0"/>
  </w:style>
  <w:style w:type="character" w:customStyle="1" w:styleId="471">
    <w:name w:val="apple-style-span"/>
    <w:basedOn w:val="53"/>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9"/>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9"/>
    <w:autoRedefine/>
    <w:qFormat/>
    <w:uiPriority w:val="0"/>
    <w:rPr>
      <w:rFonts w:ascii="宋体" w:hAnsi="Courier New"/>
      <w:szCs w:val="20"/>
    </w:rPr>
  </w:style>
  <w:style w:type="character" w:customStyle="1" w:styleId="482">
    <w:name w:val="脚注文本 Char2"/>
    <w:basedOn w:val="53"/>
    <w:link w:val="41"/>
    <w:autoRedefine/>
    <w:semiHidden/>
    <w:qFormat/>
    <w:uiPriority w:val="0"/>
    <w:rPr>
      <w:kern w:val="2"/>
      <w:sz w:val="18"/>
      <w:szCs w:val="18"/>
    </w:rPr>
  </w:style>
  <w:style w:type="paragraph" w:customStyle="1" w:styleId="483">
    <w:name w:val="_Style 56"/>
    <w:basedOn w:val="1"/>
    <w:next w:val="29"/>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32"/>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9"/>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9"/>
    <w:qFormat/>
    <w:uiPriority w:val="0"/>
    <w:rPr>
      <w:rFonts w:ascii="宋体" w:hAnsi="Courier New"/>
      <w:szCs w:val="20"/>
    </w:rPr>
  </w:style>
  <w:style w:type="paragraph" w:customStyle="1" w:styleId="502">
    <w:name w:val="2"/>
    <w:basedOn w:val="1"/>
    <w:next w:val="48"/>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2"/>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88</Pages>
  <Words>1891</Words>
  <Characters>1923</Characters>
  <Lines>398</Lines>
  <Paragraphs>112</Paragraphs>
  <TotalTime>5</TotalTime>
  <ScaleCrop>false</ScaleCrop>
  <LinksUpToDate>false</LinksUpToDate>
  <CharactersWithSpaces>1997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2026-04-07T03:46:05Z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